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C97F0" w14:textId="77777777" w:rsidR="00F43E4E" w:rsidRDefault="00F43E4E" w:rsidP="00F43E4E">
      <w:pPr>
        <w:spacing w:after="40"/>
      </w:pPr>
      <w:r>
        <w:rPr>
          <w:b/>
          <w:bCs/>
          <w:color w:val="C9A227"/>
          <w:sz w:val="19"/>
          <w:szCs w:val="19"/>
        </w:rPr>
        <w:t>PROGETTO DI RIATTIVAZIONE · MODELLO HCR IN SCALA</w:t>
      </w:r>
    </w:p>
    <w:p w14:paraId="566DAEB9" w14:textId="77777777" w:rsidR="00F43E4E" w:rsidRDefault="00F43E4E" w:rsidP="00F43E4E">
      <w:pPr>
        <w:spacing w:after="60"/>
      </w:pPr>
      <w:r>
        <w:rPr>
          <w:b/>
          <w:bCs/>
          <w:color w:val="2C5E55"/>
          <w:sz w:val="52"/>
          <w:szCs w:val="52"/>
        </w:rPr>
        <w:t>Ostello “Cartiera La Buca”</w:t>
      </w:r>
    </w:p>
    <w:p w14:paraId="48D4D58F" w14:textId="77777777" w:rsidR="00F43E4E" w:rsidRDefault="00F43E4E" w:rsidP="00F43E4E">
      <w:pPr>
        <w:spacing w:after="200"/>
      </w:pPr>
      <w:r>
        <w:rPr>
          <w:color w:val="333333"/>
          <w:sz w:val="26"/>
          <w:szCs w:val="26"/>
        </w:rPr>
        <w:t>Riattivazione integrata di un bene pubblico sulla Via Francigena: ricettività, cultura, incubazione</w:t>
      </w:r>
    </w:p>
    <w:p w14:paraId="2811AD70" w14:textId="77777777" w:rsidR="00F43E4E" w:rsidRDefault="00F43E4E" w:rsidP="00F43E4E">
      <w:pPr>
        <w:pBdr>
          <w:bottom w:val="single" w:sz="12" w:space="2" w:color="C9A227"/>
        </w:pBdr>
        <w:spacing w:after="200"/>
      </w:pPr>
    </w:p>
    <w:p w14:paraId="49375709" w14:textId="77777777" w:rsidR="00F43E4E" w:rsidRDefault="00F43E4E" w:rsidP="00F43E4E">
      <w:pPr>
        <w:spacing w:after="140" w:line="276" w:lineRule="auto"/>
        <w:jc w:val="both"/>
      </w:pPr>
      <w:r>
        <w:rPr>
          <w:b/>
          <w:bCs/>
        </w:rPr>
        <w:t xml:space="preserve">Oggetto. </w:t>
      </w:r>
      <w:r>
        <w:t xml:space="preserve">Documento preliminare di supporto rivolto all’Amministrazione comunale di Colle di Val d’Elsa (SI), proprietaria dell’immobile, e all’eventuale ente gestore. Trasferisce alla scala dell’Ostello “Cartiera La Buca” la </w:t>
      </w:r>
      <w:r w:rsidRPr="00003DD1">
        <w:rPr>
          <w:b/>
          <w:bCs/>
        </w:rPr>
        <w:t>metodologia dell’Hub Culturale Ricettivo</w:t>
      </w:r>
      <w:r>
        <w:t xml:space="preserve"> (HCR) già sperimentata a Villa Albrizzi Marini, nel Comune di San Zenone degli Ezzelini (TV), e applicata al complesso di Villa Mocenigo ad Alvisopoli, nel Comune di Fossalta di Portogruaro (VE). Il documento fornisce </w:t>
      </w:r>
      <w:r w:rsidRPr="00003DD1">
        <w:rPr>
          <w:b/>
          <w:bCs/>
          <w:i/>
          <w:iCs/>
        </w:rPr>
        <w:t>(i)</w:t>
      </w:r>
      <w:r>
        <w:t xml:space="preserve"> una breve presentazione del </w:t>
      </w:r>
      <w:r>
        <w:rPr>
          <w:i/>
          <w:iCs/>
        </w:rPr>
        <w:t>concept</w:t>
      </w:r>
      <w:r>
        <w:t xml:space="preserve">, </w:t>
      </w:r>
      <w:r w:rsidRPr="00003DD1">
        <w:rPr>
          <w:b/>
          <w:bCs/>
          <w:i/>
          <w:iCs/>
        </w:rPr>
        <w:t>(ii)</w:t>
      </w:r>
      <w:r>
        <w:rPr>
          <w:i/>
          <w:iCs/>
        </w:rPr>
        <w:t xml:space="preserve"> </w:t>
      </w:r>
      <w:r>
        <w:t xml:space="preserve">il percorso operativo </w:t>
      </w:r>
      <w:r>
        <w:rPr>
          <w:i/>
          <w:iCs/>
        </w:rPr>
        <w:t>step by step</w:t>
      </w:r>
      <w:r>
        <w:t xml:space="preserve"> e </w:t>
      </w:r>
      <w:r w:rsidRPr="00003DD1">
        <w:rPr>
          <w:b/>
          <w:bCs/>
          <w:i/>
          <w:iCs/>
        </w:rPr>
        <w:t>(iii)</w:t>
      </w:r>
      <w:r>
        <w:rPr>
          <w:i/>
          <w:iCs/>
        </w:rPr>
        <w:t xml:space="preserve"> </w:t>
      </w:r>
      <w:r>
        <w:t>un elenco strutturato di domande per acquisire un quadro completo e decidere con cognizione di causa.</w:t>
      </w:r>
    </w:p>
    <w:p w14:paraId="6B12DAB2" w14:textId="77777777" w:rsidR="00F43E4E" w:rsidRDefault="00F43E4E" w:rsidP="00F43E4E">
      <w:pPr>
        <w:spacing w:after="140" w:line="276" w:lineRule="auto"/>
        <w:jc w:val="both"/>
      </w:pPr>
      <w:r>
        <w:rPr>
          <w:b/>
          <w:bCs/>
        </w:rPr>
        <w:t xml:space="preserve">Avvertenza metodologica. </w:t>
      </w:r>
      <w:r>
        <w:rPr>
          <w:i/>
          <w:iCs/>
        </w:rPr>
        <w:t xml:space="preserve">I dati patrimoniali, dimensionali e contrattuali riportati derivano esclusivamente dalla documentazione trasmessa (contratto di concessione </w:t>
      </w:r>
      <w:r w:rsidRPr="00861B19">
        <w:rPr>
          <w:i/>
          <w:iCs/>
          <w:highlight w:val="yellow"/>
        </w:rPr>
        <w:t>Prot. 4285 del 14.12.2021; SCIA standard del 25.05.2017</w:t>
      </w:r>
      <w:r>
        <w:rPr>
          <w:i/>
          <w:iCs/>
        </w:rPr>
        <w:t>; planimetria piano strada e piano interrato). Le valutazioni economiche, giuridiche e strategiche hanno natura istruttoria e sono subordinate alle verifiche elencate al § 7 e alle risposte di cui al § 8.</w:t>
      </w:r>
    </w:p>
    <w:p w14:paraId="4D5CC41E" w14:textId="77777777" w:rsidR="00F43E4E" w:rsidRDefault="00F43E4E" w:rsidP="00F43E4E">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43E4E" w14:paraId="32305165" w14:textId="77777777" w:rsidTr="004504FA">
        <w:tc>
          <w:tcPr>
            <w:tcW w:w="9360" w:type="dxa"/>
            <w:tcBorders>
              <w:top w:val="single" w:sz="1" w:space="0" w:color="F5F0E8"/>
              <w:left w:val="single" w:sz="24" w:space="0" w:color="C9A227"/>
              <w:bottom w:val="single" w:sz="1" w:space="0" w:color="F5F0E8"/>
              <w:right w:val="single" w:sz="1" w:space="0" w:color="F5F0E8"/>
            </w:tcBorders>
            <w:shd w:val="clear" w:color="auto" w:fill="F5F0E8"/>
            <w:tcMar>
              <w:top w:w="140" w:type="dxa"/>
              <w:left w:w="200" w:type="dxa"/>
              <w:bottom w:w="140" w:type="dxa"/>
              <w:right w:w="200" w:type="dxa"/>
            </w:tcMar>
          </w:tcPr>
          <w:p w14:paraId="7ADC8AA3" w14:textId="77777777" w:rsidR="00F43E4E" w:rsidRPr="001E074C" w:rsidRDefault="00F43E4E" w:rsidP="004504FA">
            <w:pPr>
              <w:spacing w:after="60"/>
            </w:pPr>
            <w:r w:rsidRPr="001E074C">
              <w:rPr>
                <w:b/>
                <w:bCs/>
                <w:color w:val="C9A227"/>
                <w:sz w:val="21"/>
                <w:szCs w:val="21"/>
              </w:rPr>
              <w:t>Sintesi della proposta in una frase</w:t>
            </w:r>
          </w:p>
          <w:p w14:paraId="79BF83F3" w14:textId="77777777" w:rsidR="00F43E4E" w:rsidRPr="001E074C" w:rsidRDefault="00F43E4E" w:rsidP="004504FA">
            <w:pPr>
              <w:spacing w:line="264" w:lineRule="auto"/>
              <w:jc w:val="both"/>
            </w:pPr>
            <w:r>
              <w:t>L’integrale</w:t>
            </w:r>
            <w:r w:rsidRPr="001E074C">
              <w:t xml:space="preserve"> recupero di un immobile pubblico di matrice manifatturiera, già attivo come ostello sulla Via Francigena, viene completato </w:t>
            </w:r>
            <w:r>
              <w:t>per la</w:t>
            </w:r>
            <w:r w:rsidRPr="001E074C">
              <w:t xml:space="preserve"> realizzazione di un </w:t>
            </w:r>
            <w:r w:rsidRPr="001E074C">
              <w:rPr>
                <w:b/>
                <w:bCs/>
              </w:rPr>
              <w:t>ecosistema autoportante a tre funzioni co-localizzate</w:t>
            </w:r>
            <w:r w:rsidRPr="001E074C">
              <w:t>:</w:t>
            </w:r>
          </w:p>
          <w:p w14:paraId="4336017B" w14:textId="77777777" w:rsidR="00F43E4E" w:rsidRPr="001E074C" w:rsidRDefault="00F43E4E" w:rsidP="004504FA">
            <w:pPr>
              <w:spacing w:line="264" w:lineRule="auto"/>
              <w:jc w:val="both"/>
            </w:pPr>
            <w:r w:rsidRPr="001E074C">
              <w:rPr>
                <w:b/>
                <w:bCs/>
              </w:rPr>
              <w:t>a)</w:t>
            </w:r>
            <w:r w:rsidRPr="001E074C">
              <w:t xml:space="preserve"> </w:t>
            </w:r>
            <w:r w:rsidRPr="001E074C">
              <w:rPr>
                <w:b/>
                <w:bCs/>
              </w:rPr>
              <w:t>ricettività</w:t>
            </w:r>
            <w:r w:rsidRPr="001E074C">
              <w:t xml:space="preserve"> (piano strada, esistente);</w:t>
            </w:r>
          </w:p>
          <w:p w14:paraId="09E39D6F" w14:textId="77777777" w:rsidR="00F43E4E" w:rsidRPr="001E074C" w:rsidRDefault="00F43E4E" w:rsidP="004504FA">
            <w:pPr>
              <w:spacing w:line="264" w:lineRule="auto"/>
              <w:jc w:val="both"/>
            </w:pPr>
            <w:r w:rsidRPr="001E074C">
              <w:rPr>
                <w:b/>
                <w:bCs/>
              </w:rPr>
              <w:t>b)</w:t>
            </w:r>
            <w:r w:rsidRPr="001E074C">
              <w:t xml:space="preserve"> </w:t>
            </w:r>
            <w:r w:rsidRPr="001E074C">
              <w:rPr>
                <w:b/>
                <w:bCs/>
              </w:rPr>
              <w:t>cultura ed eventi</w:t>
            </w:r>
            <w:r w:rsidRPr="001E074C">
              <w:t xml:space="preserve"> (piano interrato, riattivazione reversibile a basso costo);</w:t>
            </w:r>
          </w:p>
          <w:p w14:paraId="7C1B6551" w14:textId="77777777" w:rsidR="00F43E4E" w:rsidRPr="001E074C" w:rsidRDefault="00F43E4E" w:rsidP="004504FA">
            <w:pPr>
              <w:spacing w:line="264" w:lineRule="auto"/>
              <w:jc w:val="both"/>
            </w:pPr>
            <w:r w:rsidRPr="001E074C">
              <w:rPr>
                <w:b/>
                <w:bCs/>
              </w:rPr>
              <w:t>c)</w:t>
            </w:r>
            <w:r w:rsidRPr="001E074C">
              <w:t xml:space="preserve"> </w:t>
            </w:r>
            <w:r w:rsidRPr="001E074C">
              <w:rPr>
                <w:b/>
                <w:bCs/>
              </w:rPr>
              <w:t>micro-incubazione</w:t>
            </w:r>
            <w:r w:rsidRPr="001E074C">
              <w:t xml:space="preserve"> (piano primo, oggi inutilizzato).</w:t>
            </w:r>
          </w:p>
          <w:p w14:paraId="420AC4E5" w14:textId="77777777" w:rsidR="00F43E4E" w:rsidRDefault="00F43E4E" w:rsidP="004504FA">
            <w:pPr>
              <w:spacing w:line="264" w:lineRule="auto"/>
              <w:jc w:val="both"/>
            </w:pPr>
            <w:r w:rsidRPr="001E074C">
              <w:t>Si applica la stessa logica funzionale ed economica di Villa Mocenigo ad Alvisopoli, ridotta alla metratura disponibile.</w:t>
            </w:r>
          </w:p>
        </w:tc>
      </w:tr>
    </w:tbl>
    <w:p w14:paraId="02AF5F1F" w14:textId="77777777" w:rsidR="00F43E4E" w:rsidRDefault="00F43E4E" w:rsidP="00F43E4E">
      <w:r>
        <w:br w:type="page"/>
      </w:r>
    </w:p>
    <w:p w14:paraId="1CE0CA0F" w14:textId="77777777" w:rsidR="00F43E4E" w:rsidRDefault="00F43E4E" w:rsidP="00F43E4E">
      <w:pPr>
        <w:pStyle w:val="Titolo1"/>
      </w:pPr>
      <w:r>
        <w:lastRenderedPageBreak/>
        <w:t>1. Premessa metodologica: che cosa si replica</w:t>
      </w:r>
    </w:p>
    <w:p w14:paraId="76B451DA" w14:textId="77777777" w:rsidR="00F43E4E" w:rsidRPr="008F5C2B" w:rsidRDefault="00F43E4E" w:rsidP="00F43E4E">
      <w:pPr>
        <w:spacing w:after="240" w:line="276" w:lineRule="auto"/>
        <w:jc w:val="both"/>
      </w:pPr>
      <w:r w:rsidRPr="008F5C2B">
        <w:t xml:space="preserve">Il modello HCR non è un format edilizio ma una </w:t>
      </w:r>
      <w:r w:rsidRPr="008F5C2B">
        <w:rPr>
          <w:b/>
          <w:bCs/>
        </w:rPr>
        <w:t>logica di rigenerazione di beni immobili sottoutilizzati</w:t>
      </w:r>
      <w:r w:rsidRPr="008F5C2B">
        <w:t xml:space="preserve"> che rende autosufficiente la gestione </w:t>
      </w:r>
      <w:r w:rsidRPr="00003DD1">
        <w:rPr>
          <w:b/>
          <w:bCs/>
        </w:rPr>
        <w:t>attraverso la co-localizzazione di più funzioni complementari</w:t>
      </w:r>
      <w:r w:rsidRPr="008F5C2B">
        <w:t xml:space="preserve">. Il principio cardine è che </w:t>
      </w:r>
      <w:r w:rsidRPr="00003DD1">
        <w:rPr>
          <w:u w:val="single"/>
        </w:rPr>
        <w:t>nessuna funzione, presa isolatamente, sostiene i costi del bene</w:t>
      </w:r>
      <w:r w:rsidRPr="008F5C2B">
        <w:t xml:space="preserve">. L’equilibrio nasce dalla </w:t>
      </w:r>
      <w:r w:rsidRPr="008F5C2B">
        <w:rPr>
          <w:b/>
          <w:bCs/>
        </w:rPr>
        <w:t>interdipendenza</w:t>
      </w:r>
      <w:r w:rsidRPr="008F5C2B">
        <w:t xml:space="preserve">: </w:t>
      </w:r>
    </w:p>
    <w:p w14:paraId="7EB51612" w14:textId="77777777" w:rsidR="00F43E4E" w:rsidRPr="008F5C2B" w:rsidRDefault="00F43E4E" w:rsidP="00F43E4E">
      <w:pPr>
        <w:pStyle w:val="Paragrafoelenco"/>
        <w:numPr>
          <w:ilvl w:val="0"/>
          <w:numId w:val="3"/>
        </w:numPr>
        <w:spacing w:line="276" w:lineRule="auto"/>
        <w:ind w:left="426" w:hanging="284"/>
        <w:contextualSpacing w:val="0"/>
        <w:jc w:val="both"/>
      </w:pPr>
      <w:r w:rsidRPr="008F5C2B">
        <w:t xml:space="preserve">la ricettività genera cassa e flussi di pubblico; </w:t>
      </w:r>
    </w:p>
    <w:p w14:paraId="041CB6BD" w14:textId="77777777" w:rsidR="00F43E4E" w:rsidRPr="008F5C2B" w:rsidRDefault="00F43E4E" w:rsidP="00F43E4E">
      <w:pPr>
        <w:pStyle w:val="Paragrafoelenco"/>
        <w:numPr>
          <w:ilvl w:val="0"/>
          <w:numId w:val="3"/>
        </w:numPr>
        <w:spacing w:line="276" w:lineRule="auto"/>
        <w:ind w:left="426" w:hanging="284"/>
        <w:contextualSpacing w:val="0"/>
        <w:jc w:val="both"/>
      </w:pPr>
      <w:r w:rsidRPr="008F5C2B">
        <w:t xml:space="preserve">lo spazio culturale produce identità, animazione e base associativa; </w:t>
      </w:r>
    </w:p>
    <w:p w14:paraId="5C9B306C" w14:textId="77777777" w:rsidR="00F43E4E" w:rsidRPr="008F5C2B" w:rsidRDefault="00F43E4E" w:rsidP="00F43E4E">
      <w:pPr>
        <w:pStyle w:val="Paragrafoelenco"/>
        <w:numPr>
          <w:ilvl w:val="0"/>
          <w:numId w:val="3"/>
        </w:numPr>
        <w:spacing w:after="240" w:line="276" w:lineRule="auto"/>
        <w:ind w:left="426" w:hanging="284"/>
        <w:contextualSpacing w:val="0"/>
        <w:jc w:val="both"/>
      </w:pPr>
      <w:r w:rsidRPr="008F5C2B">
        <w:t xml:space="preserve">l’incubatore genera nuova attività economica e, nel tempo, imprese consolidate che diventano presenze stabili dell’hub. </w:t>
      </w:r>
    </w:p>
    <w:p w14:paraId="489D8F2D" w14:textId="77777777" w:rsidR="00F43E4E" w:rsidRPr="008F5C2B" w:rsidRDefault="00F43E4E" w:rsidP="00F43E4E">
      <w:pPr>
        <w:spacing w:line="276" w:lineRule="auto"/>
        <w:jc w:val="both"/>
      </w:pPr>
      <w:r w:rsidRPr="008F5C2B">
        <w:t>Il bene smette di essere un costo per la proprietà pubblica e diventa un’infrastruttura che si autofinanzia.</w:t>
      </w:r>
    </w:p>
    <w:p w14:paraId="5F8A996C" w14:textId="77777777" w:rsidR="00F43E4E" w:rsidRDefault="00F43E4E" w:rsidP="00F43E4E">
      <w:pPr>
        <w:spacing w:after="140" w:line="276" w:lineRule="auto"/>
        <w:jc w:val="both"/>
      </w:pPr>
      <w:r w:rsidRPr="008F5C2B">
        <w:t>La trasferibilità del metodo si fonda su tre elementi già validati:</w:t>
      </w:r>
      <w:r>
        <w:t xml:space="preserve"> </w:t>
      </w:r>
    </w:p>
    <w:p w14:paraId="632CA989" w14:textId="77777777" w:rsidR="00F43E4E" w:rsidRDefault="00F43E4E" w:rsidP="00F43E4E">
      <w:pPr>
        <w:pStyle w:val="Paragrafoelenco"/>
        <w:numPr>
          <w:ilvl w:val="0"/>
          <w:numId w:val="4"/>
        </w:numPr>
        <w:spacing w:line="276" w:lineRule="auto"/>
        <w:ind w:left="426" w:hanging="284"/>
        <w:contextualSpacing w:val="0"/>
        <w:jc w:val="both"/>
      </w:pPr>
      <w:r>
        <w:t xml:space="preserve">una </w:t>
      </w:r>
      <w:r w:rsidRPr="0083691E">
        <w:rPr>
          <w:b/>
          <w:bCs/>
        </w:rPr>
        <w:t>governance duale</w:t>
      </w:r>
      <w:r>
        <w:t xml:space="preserve"> (soggetto del Terzo settore per le funzioni culturali e associative; soggetto commerciale per le attività d’impresa, </w:t>
      </w:r>
      <w:r w:rsidRPr="00003DD1">
        <w:rPr>
          <w:u w:val="single"/>
        </w:rPr>
        <w:t>se la scala lo giustifica</w:t>
      </w:r>
      <w:r>
        <w:t>);</w:t>
      </w:r>
    </w:p>
    <w:p w14:paraId="4370DCCA" w14:textId="77777777" w:rsidR="00F43E4E" w:rsidRDefault="00F43E4E" w:rsidP="00F43E4E">
      <w:pPr>
        <w:pStyle w:val="Paragrafoelenco"/>
        <w:numPr>
          <w:ilvl w:val="0"/>
          <w:numId w:val="4"/>
        </w:numPr>
        <w:spacing w:line="276" w:lineRule="auto"/>
        <w:ind w:left="426" w:hanging="284"/>
        <w:contextualSpacing w:val="0"/>
        <w:jc w:val="both"/>
      </w:pPr>
      <w:r>
        <w:t xml:space="preserve">uno </w:t>
      </w:r>
      <w:r w:rsidRPr="0083691E">
        <w:rPr>
          <w:b/>
          <w:bCs/>
        </w:rPr>
        <w:t>strumento economico parametrico</w:t>
      </w:r>
      <w:r>
        <w:t xml:space="preserve"> (il modello economico-gestionale HCR, che traduce metri quadri, tariffe e ricavi in un conto di gestione verificabile);</w:t>
      </w:r>
    </w:p>
    <w:p w14:paraId="5BD2FA10" w14:textId="77777777" w:rsidR="00F43E4E" w:rsidRDefault="00F43E4E" w:rsidP="00F43E4E">
      <w:pPr>
        <w:pStyle w:val="Paragrafoelenco"/>
        <w:numPr>
          <w:ilvl w:val="0"/>
          <w:numId w:val="4"/>
        </w:numPr>
        <w:spacing w:after="140" w:line="276" w:lineRule="auto"/>
        <w:ind w:left="426" w:hanging="284"/>
        <w:contextualSpacing w:val="0"/>
        <w:jc w:val="both"/>
      </w:pPr>
      <w:r>
        <w:t xml:space="preserve">un </w:t>
      </w:r>
      <w:r w:rsidRPr="0083691E">
        <w:rPr>
          <w:b/>
          <w:bCs/>
        </w:rPr>
        <w:t>modello contrattuale di incubazione a due voci</w:t>
      </w:r>
      <w:r>
        <w:t xml:space="preserve"> privo di canone fisso: Villa Mocenigo è l’applicazione su larga scala, mentre l’Ostello Cartiera La Buca può essere un’applicazione in scala minore, su un bene già in esercizio.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43E4E" w14:paraId="323F5B5A" w14:textId="77777777" w:rsidTr="004504FA">
        <w:tc>
          <w:tcPr>
            <w:tcW w:w="9360" w:type="dxa"/>
            <w:tcBorders>
              <w:top w:val="single" w:sz="1" w:space="0" w:color="E3ECE9"/>
              <w:left w:val="single" w:sz="24" w:space="0" w:color="2C5E55"/>
              <w:bottom w:val="single" w:sz="1" w:space="0" w:color="E3ECE9"/>
              <w:right w:val="single" w:sz="1" w:space="0" w:color="E3ECE9"/>
            </w:tcBorders>
            <w:shd w:val="clear" w:color="auto" w:fill="E3ECE9"/>
            <w:tcMar>
              <w:top w:w="140" w:type="dxa"/>
              <w:left w:w="200" w:type="dxa"/>
              <w:bottom w:w="140" w:type="dxa"/>
              <w:right w:w="200" w:type="dxa"/>
            </w:tcMar>
          </w:tcPr>
          <w:p w14:paraId="47D018FF" w14:textId="77777777" w:rsidR="00F43E4E" w:rsidRDefault="00F43E4E" w:rsidP="004504FA">
            <w:pPr>
              <w:spacing w:after="60"/>
            </w:pPr>
            <w:r>
              <w:rPr>
                <w:b/>
                <w:bCs/>
                <w:color w:val="2C5E55"/>
                <w:sz w:val="21"/>
                <w:szCs w:val="21"/>
              </w:rPr>
              <w:t>Cartiera La Buca è un caso favorevole:</w:t>
            </w:r>
          </w:p>
          <w:p w14:paraId="155BB8AB" w14:textId="77777777" w:rsidR="00F43E4E" w:rsidRDefault="00F43E4E" w:rsidP="004504FA">
            <w:pPr>
              <w:spacing w:after="80" w:line="264" w:lineRule="auto"/>
              <w:jc w:val="both"/>
            </w:pPr>
            <w:r>
              <w:rPr>
                <w:b/>
                <w:bCs/>
              </w:rPr>
              <w:t xml:space="preserve">La “funzione-àncora” esiste già. </w:t>
            </w:r>
            <w:r>
              <w:t>L’ostello è attivo: a differenza di Villa Mocenigo, non occorre costruire il flusso ricettivo da zero ma basta innestare le altre due funzioni su un flusso esistente.</w:t>
            </w:r>
          </w:p>
          <w:p w14:paraId="7AC83D47" w14:textId="77777777" w:rsidR="00F43E4E" w:rsidRDefault="00F43E4E" w:rsidP="004504FA">
            <w:pPr>
              <w:spacing w:after="80" w:line="264" w:lineRule="auto"/>
              <w:jc w:val="both"/>
            </w:pPr>
            <w:r>
              <w:rPr>
                <w:b/>
                <w:bCs/>
              </w:rPr>
              <w:t xml:space="preserve">Lo spazio culturale è a riattivazione reversibile. </w:t>
            </w:r>
            <w:r>
              <w:t>Il piano interrato (oggi in stato di abbandono) è ripristinabile per manifestazioni temporanee con interventi leggeri e amovibili, coerenti con un bene vincolato.</w:t>
            </w:r>
          </w:p>
          <w:p w14:paraId="6EE3BFBB" w14:textId="77777777" w:rsidR="00F43E4E" w:rsidRDefault="00F43E4E" w:rsidP="004504FA">
            <w:pPr>
              <w:spacing w:line="264" w:lineRule="auto"/>
              <w:jc w:val="both"/>
            </w:pPr>
            <w:r>
              <w:rPr>
                <w:b/>
                <w:bCs/>
              </w:rPr>
              <w:t xml:space="preserve">Il completamento è già previsto. </w:t>
            </w:r>
            <w:r>
              <w:t xml:space="preserve">Il piano primo inutilizzato è esplicitamente contemplato dall’art. 2 dell’attuale </w:t>
            </w:r>
            <w:r w:rsidRPr="000141C3">
              <w:t>contratto di gestione</w:t>
            </w:r>
            <w:r>
              <w:t xml:space="preserve"> come oggetto di un più ampio “progetto definitivo” di sistemazione: l’incubatore può trovare qui il proprio </w:t>
            </w:r>
            <w:r w:rsidRPr="00E60F23">
              <w:t>“</w:t>
            </w:r>
            <w:r>
              <w:rPr>
                <w:i/>
                <w:iCs/>
              </w:rPr>
              <w:t>assist</w:t>
            </w:r>
            <w:r w:rsidRPr="00003DD1">
              <w:t>”</w:t>
            </w:r>
            <w:r>
              <w:t xml:space="preserve"> giuridico.</w:t>
            </w:r>
          </w:p>
        </w:tc>
      </w:tr>
    </w:tbl>
    <w:p w14:paraId="43A04D42" w14:textId="77777777" w:rsidR="00F43E4E" w:rsidRDefault="00F43E4E" w:rsidP="00F43E4E">
      <w:pPr>
        <w:pStyle w:val="Titolo1"/>
      </w:pPr>
      <w:r>
        <w:t>2. L’immobile: inquadramento e stato di fatto</w:t>
      </w:r>
    </w:p>
    <w:p w14:paraId="77C0B457" w14:textId="77777777" w:rsidR="00F43E4E" w:rsidRDefault="00F43E4E" w:rsidP="00F43E4E">
      <w:pPr>
        <w:spacing w:line="276" w:lineRule="auto"/>
        <w:jc w:val="both"/>
      </w:pPr>
      <w:r>
        <w:t xml:space="preserve">L’Ostello “Cartiera La Buca” sorge in un’ex struttura per la fabbricazione della carta, di origine databile intorno agli inizi del XIV secolo, con macchinari ancora presenti nei locali attigui al deposito. È di proprietà del Comune di Colle di Val d’Elsa, ubicato in Via XXV Aprile, sul tracciato della </w:t>
      </w:r>
      <w:r>
        <w:rPr>
          <w:b/>
          <w:bCs/>
        </w:rPr>
        <w:t>Via Francigena</w:t>
      </w:r>
      <w:r>
        <w:t xml:space="preserve">, con accesso diretto al </w:t>
      </w:r>
      <w:proofErr w:type="spellStart"/>
      <w:r w:rsidRPr="00003DD1">
        <w:rPr>
          <w:b/>
          <w:bCs/>
        </w:rPr>
        <w:t>SentierElsa</w:t>
      </w:r>
      <w:proofErr w:type="spellEnd"/>
      <w:r>
        <w:t xml:space="preserve">, un ampio parcheggio pubblico e piena accessibilità alle persone con disabilità. </w:t>
      </w:r>
    </w:p>
    <w:p w14:paraId="36D365DE" w14:textId="77777777" w:rsidR="00F43E4E" w:rsidRDefault="00F43E4E" w:rsidP="00F43E4E">
      <w:pPr>
        <w:spacing w:after="140" w:line="276" w:lineRule="auto"/>
        <w:jc w:val="both"/>
      </w:pPr>
      <w:r>
        <w:lastRenderedPageBreak/>
        <w:t xml:space="preserve">Il recupero a struttura ricettiva è stato approvato con delibera di Giunta Comunale n. 32 del 06.03.2014; la tipologia è quella di </w:t>
      </w:r>
      <w:r w:rsidRPr="00003DD1">
        <w:t>ostello/rifugio escursionistico</w:t>
      </w:r>
      <w:r>
        <w:t xml:space="preserve"> ai sensi del Testo Unico sul turismo della Regione Toscana (L.R. Toscana n. 86/2016 e Regolamento attuativo n. 47/R/2018).</w:t>
      </w:r>
    </w:p>
    <w:p w14:paraId="66F7BDA7" w14:textId="77777777" w:rsidR="00F43E4E" w:rsidRDefault="00F43E4E" w:rsidP="00F43E4E">
      <w:pPr>
        <w:spacing w:after="40"/>
      </w:pPr>
    </w:p>
    <w:tbl>
      <w:tblPr>
        <w:tblW w:w="9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93"/>
        <w:gridCol w:w="6338"/>
      </w:tblGrid>
      <w:tr w:rsidR="00F43E4E" w14:paraId="423260C9" w14:textId="77777777" w:rsidTr="000310A1">
        <w:tc>
          <w:tcPr>
            <w:tcW w:w="2993" w:type="dxa"/>
            <w:tcBorders>
              <w:top w:val="single" w:sz="1" w:space="0" w:color="CCCCCC"/>
              <w:left w:val="single" w:sz="1" w:space="0" w:color="CCCCCC"/>
              <w:bottom w:val="single" w:sz="1" w:space="0" w:color="CCCCCC"/>
              <w:right w:val="single" w:sz="1" w:space="0" w:color="CCCCCC"/>
            </w:tcBorders>
            <w:shd w:val="clear" w:color="auto" w:fill="2C5E55"/>
            <w:tcMar>
              <w:top w:w="70" w:type="dxa"/>
              <w:left w:w="120" w:type="dxa"/>
              <w:bottom w:w="70" w:type="dxa"/>
              <w:right w:w="120" w:type="dxa"/>
            </w:tcMar>
          </w:tcPr>
          <w:p w14:paraId="49339EDC" w14:textId="77777777" w:rsidR="00F43E4E" w:rsidRDefault="00F43E4E" w:rsidP="004504FA">
            <w:r>
              <w:rPr>
                <w:b/>
                <w:bCs/>
                <w:color w:val="FFFFFF"/>
                <w:sz w:val="20"/>
                <w:szCs w:val="20"/>
              </w:rPr>
              <w:t>Dato</w:t>
            </w:r>
          </w:p>
        </w:tc>
        <w:tc>
          <w:tcPr>
            <w:tcW w:w="6338" w:type="dxa"/>
            <w:tcBorders>
              <w:top w:val="single" w:sz="1" w:space="0" w:color="CCCCCC"/>
              <w:left w:val="single" w:sz="1" w:space="0" w:color="CCCCCC"/>
              <w:bottom w:val="single" w:sz="1" w:space="0" w:color="CCCCCC"/>
              <w:right w:val="single" w:sz="1" w:space="0" w:color="CCCCCC"/>
            </w:tcBorders>
            <w:shd w:val="clear" w:color="auto" w:fill="2C5E55"/>
            <w:tcMar>
              <w:top w:w="70" w:type="dxa"/>
              <w:left w:w="120" w:type="dxa"/>
              <w:bottom w:w="70" w:type="dxa"/>
              <w:right w:w="120" w:type="dxa"/>
            </w:tcMar>
          </w:tcPr>
          <w:p w14:paraId="5C624D0A" w14:textId="77777777" w:rsidR="00F43E4E" w:rsidRDefault="00F43E4E" w:rsidP="004504FA">
            <w:pPr>
              <w:jc w:val="both"/>
            </w:pPr>
            <w:r>
              <w:rPr>
                <w:b/>
                <w:bCs/>
                <w:color w:val="FFFFFF"/>
                <w:sz w:val="20"/>
                <w:szCs w:val="20"/>
              </w:rPr>
              <w:t>Rilevazione (da documentazione trasmessa)</w:t>
            </w:r>
          </w:p>
        </w:tc>
      </w:tr>
      <w:tr w:rsidR="00F43E4E" w14:paraId="0D4236B2" w14:textId="77777777" w:rsidTr="000310A1">
        <w:tc>
          <w:tcPr>
            <w:tcW w:w="2993" w:type="dxa"/>
            <w:tcBorders>
              <w:top w:val="single" w:sz="1" w:space="0" w:color="CCCCCC"/>
              <w:left w:val="single" w:sz="1" w:space="0" w:color="CCCCCC"/>
              <w:bottom w:val="single" w:sz="1" w:space="0" w:color="CCCCCC"/>
              <w:right w:val="single" w:sz="1" w:space="0" w:color="CCCCCC"/>
            </w:tcBorders>
            <w:shd w:val="clear" w:color="auto" w:fill="F5F0E8"/>
            <w:tcMar>
              <w:top w:w="70" w:type="dxa"/>
              <w:left w:w="120" w:type="dxa"/>
              <w:bottom w:w="70" w:type="dxa"/>
              <w:right w:w="120" w:type="dxa"/>
            </w:tcMar>
          </w:tcPr>
          <w:p w14:paraId="21B7C4EE" w14:textId="77777777" w:rsidR="00F43E4E" w:rsidRDefault="00F43E4E" w:rsidP="004504FA">
            <w:r>
              <w:rPr>
                <w:b/>
                <w:bCs/>
                <w:sz w:val="20"/>
                <w:szCs w:val="20"/>
              </w:rPr>
              <w:t>Identificazione</w:t>
            </w:r>
          </w:p>
        </w:tc>
        <w:tc>
          <w:tcPr>
            <w:tcW w:w="6338"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14:paraId="220AA3FF" w14:textId="77777777" w:rsidR="00F43E4E" w:rsidRDefault="00F43E4E" w:rsidP="004504FA">
            <w:pPr>
              <w:jc w:val="both"/>
            </w:pPr>
            <w:r>
              <w:rPr>
                <w:sz w:val="20"/>
                <w:szCs w:val="20"/>
              </w:rPr>
              <w:t>Ostello/rifugio escursionistico “Cartiera La Buca”, Via XXV Aprile, Colle di Val d’Elsa (SI)</w:t>
            </w:r>
          </w:p>
        </w:tc>
      </w:tr>
      <w:tr w:rsidR="00F43E4E" w14:paraId="1F17C391" w14:textId="77777777" w:rsidTr="000310A1">
        <w:tc>
          <w:tcPr>
            <w:tcW w:w="2993" w:type="dxa"/>
            <w:tcBorders>
              <w:top w:val="single" w:sz="1" w:space="0" w:color="CCCCCC"/>
              <w:left w:val="single" w:sz="1" w:space="0" w:color="CCCCCC"/>
              <w:bottom w:val="single" w:sz="1" w:space="0" w:color="CCCCCC"/>
              <w:right w:val="single" w:sz="1" w:space="0" w:color="CCCCCC"/>
            </w:tcBorders>
            <w:shd w:val="clear" w:color="auto" w:fill="F5F0E8"/>
            <w:tcMar>
              <w:top w:w="70" w:type="dxa"/>
              <w:left w:w="120" w:type="dxa"/>
              <w:bottom w:w="70" w:type="dxa"/>
              <w:right w:w="120" w:type="dxa"/>
            </w:tcMar>
          </w:tcPr>
          <w:p w14:paraId="403901F6" w14:textId="77777777" w:rsidR="00F43E4E" w:rsidRDefault="00F43E4E" w:rsidP="004504FA">
            <w:r>
              <w:rPr>
                <w:b/>
                <w:bCs/>
                <w:sz w:val="20"/>
                <w:szCs w:val="20"/>
              </w:rPr>
              <w:t>Catasto</w:t>
            </w:r>
          </w:p>
        </w:tc>
        <w:tc>
          <w:tcPr>
            <w:tcW w:w="6338"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14:paraId="660D1627" w14:textId="77777777" w:rsidR="00F43E4E" w:rsidRDefault="00F43E4E" w:rsidP="004504FA">
            <w:pPr>
              <w:jc w:val="both"/>
            </w:pPr>
            <w:r>
              <w:rPr>
                <w:sz w:val="20"/>
                <w:szCs w:val="20"/>
              </w:rPr>
              <w:t>Foglio 101, particella 118 (sub. da verificare nello stato aggiornato)</w:t>
            </w:r>
          </w:p>
        </w:tc>
      </w:tr>
      <w:tr w:rsidR="00F43E4E" w14:paraId="799900B5" w14:textId="77777777" w:rsidTr="000310A1">
        <w:tc>
          <w:tcPr>
            <w:tcW w:w="2993" w:type="dxa"/>
            <w:tcBorders>
              <w:top w:val="single" w:sz="1" w:space="0" w:color="CCCCCC"/>
              <w:left w:val="single" w:sz="1" w:space="0" w:color="CCCCCC"/>
              <w:bottom w:val="single" w:sz="1" w:space="0" w:color="CCCCCC"/>
              <w:right w:val="single" w:sz="1" w:space="0" w:color="CCCCCC"/>
            </w:tcBorders>
            <w:shd w:val="clear" w:color="auto" w:fill="F5F0E8"/>
            <w:tcMar>
              <w:top w:w="70" w:type="dxa"/>
              <w:left w:w="120" w:type="dxa"/>
              <w:bottom w:w="70" w:type="dxa"/>
              <w:right w:w="120" w:type="dxa"/>
            </w:tcMar>
          </w:tcPr>
          <w:p w14:paraId="6DB64CA4" w14:textId="77777777" w:rsidR="00F43E4E" w:rsidRDefault="00F43E4E" w:rsidP="004504FA">
            <w:r>
              <w:rPr>
                <w:b/>
                <w:bCs/>
                <w:sz w:val="20"/>
                <w:szCs w:val="20"/>
              </w:rPr>
              <w:t>Piano strada (attivo)</w:t>
            </w:r>
          </w:p>
        </w:tc>
        <w:tc>
          <w:tcPr>
            <w:tcW w:w="6338"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14:paraId="05A72DE9" w14:textId="77777777" w:rsidR="00F43E4E" w:rsidRDefault="00F43E4E" w:rsidP="004504FA">
            <w:pPr>
              <w:jc w:val="both"/>
            </w:pPr>
            <w:r>
              <w:rPr>
                <w:sz w:val="20"/>
                <w:szCs w:val="20"/>
              </w:rPr>
              <w:t>≈ 260 mq: reception, servizi, sala comune/pasti, 5 camere da 2 a 8 posti (23 posti letto complessivi)</w:t>
            </w:r>
          </w:p>
        </w:tc>
      </w:tr>
      <w:tr w:rsidR="00F43E4E" w14:paraId="7FF520F9" w14:textId="77777777" w:rsidTr="000310A1">
        <w:tc>
          <w:tcPr>
            <w:tcW w:w="2993" w:type="dxa"/>
            <w:tcBorders>
              <w:top w:val="single" w:sz="1" w:space="0" w:color="CCCCCC"/>
              <w:left w:val="single" w:sz="1" w:space="0" w:color="CCCCCC"/>
              <w:bottom w:val="single" w:sz="1" w:space="0" w:color="CCCCCC"/>
              <w:right w:val="single" w:sz="1" w:space="0" w:color="CCCCCC"/>
            </w:tcBorders>
            <w:shd w:val="clear" w:color="auto" w:fill="F5F0E8"/>
            <w:tcMar>
              <w:top w:w="70" w:type="dxa"/>
              <w:left w:w="120" w:type="dxa"/>
              <w:bottom w:w="70" w:type="dxa"/>
              <w:right w:w="120" w:type="dxa"/>
            </w:tcMar>
          </w:tcPr>
          <w:p w14:paraId="7DBD2160" w14:textId="77777777" w:rsidR="00F43E4E" w:rsidRDefault="00F43E4E" w:rsidP="004504FA">
            <w:r>
              <w:rPr>
                <w:b/>
                <w:bCs/>
                <w:sz w:val="20"/>
                <w:szCs w:val="20"/>
              </w:rPr>
              <w:t>Piano interrato (deposito)</w:t>
            </w:r>
          </w:p>
        </w:tc>
        <w:tc>
          <w:tcPr>
            <w:tcW w:w="6338"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14:paraId="5BB6695E" w14:textId="77777777" w:rsidR="00F43E4E" w:rsidRDefault="00F43E4E" w:rsidP="004504FA">
            <w:pPr>
              <w:jc w:val="both"/>
            </w:pPr>
            <w:r w:rsidRPr="00EF3F99">
              <w:rPr>
                <w:sz w:val="20"/>
                <w:szCs w:val="20"/>
              </w:rPr>
              <w:t>≈ 70 mq (“parte bianca” della planimetria)</w:t>
            </w:r>
          </w:p>
        </w:tc>
      </w:tr>
      <w:tr w:rsidR="00F43E4E" w14:paraId="069B2CCE" w14:textId="77777777" w:rsidTr="000310A1">
        <w:tc>
          <w:tcPr>
            <w:tcW w:w="2993" w:type="dxa"/>
            <w:tcBorders>
              <w:top w:val="single" w:sz="1" w:space="0" w:color="CCCCCC"/>
              <w:left w:val="single" w:sz="1" w:space="0" w:color="CCCCCC"/>
              <w:bottom w:val="single" w:sz="1" w:space="0" w:color="CCCCCC"/>
              <w:right w:val="single" w:sz="1" w:space="0" w:color="CCCCCC"/>
            </w:tcBorders>
            <w:shd w:val="clear" w:color="auto" w:fill="F5F0E8"/>
            <w:tcMar>
              <w:top w:w="70" w:type="dxa"/>
              <w:left w:w="120" w:type="dxa"/>
              <w:bottom w:w="70" w:type="dxa"/>
              <w:right w:w="120" w:type="dxa"/>
            </w:tcMar>
          </w:tcPr>
          <w:p w14:paraId="79FEEAE3" w14:textId="77777777" w:rsidR="00F43E4E" w:rsidRDefault="00F43E4E" w:rsidP="004504FA">
            <w:r>
              <w:rPr>
                <w:b/>
                <w:bCs/>
                <w:sz w:val="20"/>
                <w:szCs w:val="20"/>
              </w:rPr>
              <w:t>Superficie dichiarata in SCIA</w:t>
            </w:r>
          </w:p>
        </w:tc>
        <w:tc>
          <w:tcPr>
            <w:tcW w:w="6338"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14:paraId="4385FF2D" w14:textId="77777777" w:rsidR="00F43E4E" w:rsidRDefault="00F43E4E" w:rsidP="004504FA">
            <w:pPr>
              <w:jc w:val="both"/>
            </w:pPr>
            <w:r>
              <w:rPr>
                <w:sz w:val="20"/>
                <w:szCs w:val="20"/>
              </w:rPr>
              <w:t>330 mq complessivi (260 + 70)</w:t>
            </w:r>
          </w:p>
        </w:tc>
      </w:tr>
      <w:tr w:rsidR="00F43E4E" w14:paraId="4CC6BC9B" w14:textId="77777777" w:rsidTr="000310A1">
        <w:tc>
          <w:tcPr>
            <w:tcW w:w="2993" w:type="dxa"/>
            <w:tcBorders>
              <w:top w:val="single" w:sz="1" w:space="0" w:color="CCCCCC"/>
              <w:left w:val="single" w:sz="1" w:space="0" w:color="CCCCCC"/>
              <w:bottom w:val="single" w:sz="1" w:space="0" w:color="CCCCCC"/>
              <w:right w:val="single" w:sz="1" w:space="0" w:color="CCCCCC"/>
            </w:tcBorders>
            <w:shd w:val="clear" w:color="auto" w:fill="F5F0E8"/>
            <w:tcMar>
              <w:top w:w="70" w:type="dxa"/>
              <w:left w:w="120" w:type="dxa"/>
              <w:bottom w:w="70" w:type="dxa"/>
              <w:right w:w="120" w:type="dxa"/>
            </w:tcMar>
          </w:tcPr>
          <w:p w14:paraId="0A128AF2" w14:textId="77777777" w:rsidR="00F43E4E" w:rsidRDefault="00F43E4E" w:rsidP="004504FA">
            <w:r>
              <w:rPr>
                <w:b/>
                <w:bCs/>
                <w:sz w:val="20"/>
                <w:szCs w:val="20"/>
              </w:rPr>
              <w:t>Piano primo</w:t>
            </w:r>
          </w:p>
        </w:tc>
        <w:tc>
          <w:tcPr>
            <w:tcW w:w="6338"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14:paraId="04690A8F" w14:textId="77777777" w:rsidR="00F43E4E" w:rsidRDefault="00F43E4E" w:rsidP="004504FA">
            <w:pPr>
              <w:jc w:val="both"/>
            </w:pPr>
            <w:r>
              <w:rPr>
                <w:sz w:val="20"/>
                <w:szCs w:val="20"/>
              </w:rPr>
              <w:t>Previsto ma non sistemato; il contratto ne contempla la futura “sistemazione e utilizzazione” (art. 2)</w:t>
            </w:r>
          </w:p>
        </w:tc>
      </w:tr>
      <w:tr w:rsidR="00F43E4E" w14:paraId="2172B26E" w14:textId="77777777" w:rsidTr="000310A1">
        <w:tc>
          <w:tcPr>
            <w:tcW w:w="2993" w:type="dxa"/>
            <w:tcBorders>
              <w:top w:val="single" w:sz="1" w:space="0" w:color="CCCCCC"/>
              <w:left w:val="single" w:sz="1" w:space="0" w:color="CCCCCC"/>
              <w:bottom w:val="single" w:sz="1" w:space="0" w:color="CCCCCC"/>
              <w:right w:val="single" w:sz="1" w:space="0" w:color="CCCCCC"/>
            </w:tcBorders>
            <w:shd w:val="clear" w:color="auto" w:fill="F5F0E8"/>
            <w:tcMar>
              <w:top w:w="70" w:type="dxa"/>
              <w:left w:w="120" w:type="dxa"/>
              <w:bottom w:w="70" w:type="dxa"/>
              <w:right w:w="120" w:type="dxa"/>
            </w:tcMar>
          </w:tcPr>
          <w:p w14:paraId="7F3E6A09" w14:textId="77777777" w:rsidR="00F43E4E" w:rsidRDefault="00F43E4E" w:rsidP="004504FA">
            <w:r>
              <w:rPr>
                <w:b/>
                <w:bCs/>
                <w:sz w:val="20"/>
                <w:szCs w:val="20"/>
              </w:rPr>
              <w:t>Contesto</w:t>
            </w:r>
          </w:p>
        </w:tc>
        <w:tc>
          <w:tcPr>
            <w:tcW w:w="6338" w:type="dxa"/>
            <w:tcBorders>
              <w:top w:val="single" w:sz="1" w:space="0" w:color="CCCCCC"/>
              <w:left w:val="single" w:sz="1" w:space="0" w:color="CCCCCC"/>
              <w:bottom w:val="single" w:sz="1" w:space="0" w:color="CCCCCC"/>
              <w:right w:val="single" w:sz="1" w:space="0" w:color="CCCCCC"/>
            </w:tcBorders>
            <w:shd w:val="clear" w:color="auto" w:fill="FFFFFF"/>
            <w:tcMar>
              <w:top w:w="70" w:type="dxa"/>
              <w:left w:w="120" w:type="dxa"/>
              <w:bottom w:w="70" w:type="dxa"/>
              <w:right w:w="120" w:type="dxa"/>
            </w:tcMar>
          </w:tcPr>
          <w:p w14:paraId="1876D269" w14:textId="77777777" w:rsidR="00F43E4E" w:rsidRDefault="00F43E4E" w:rsidP="004504FA">
            <w:pPr>
              <w:jc w:val="both"/>
            </w:pPr>
            <w:r>
              <w:rPr>
                <w:sz w:val="20"/>
                <w:szCs w:val="20"/>
              </w:rPr>
              <w:t xml:space="preserve">Via Francigena (turismo lento: camminatori, pellegrini, cicloturisti, etc.); </w:t>
            </w:r>
            <w:proofErr w:type="spellStart"/>
            <w:r>
              <w:rPr>
                <w:sz w:val="20"/>
                <w:szCs w:val="20"/>
              </w:rPr>
              <w:t>SentierElsa</w:t>
            </w:r>
            <w:proofErr w:type="spellEnd"/>
            <w:r>
              <w:rPr>
                <w:sz w:val="20"/>
                <w:szCs w:val="20"/>
              </w:rPr>
              <w:t>; parcheggio; accessibilità persone con disabilità</w:t>
            </w:r>
          </w:p>
        </w:tc>
      </w:tr>
    </w:tbl>
    <w:p w14:paraId="06BC0F16" w14:textId="77777777" w:rsidR="00F43E4E" w:rsidRDefault="00F43E4E" w:rsidP="00F43E4E">
      <w:pPr>
        <w:pStyle w:val="Titolo1"/>
      </w:pPr>
      <w:r>
        <w:t>3. La logica funzionale: tre funzioni integrate</w:t>
      </w:r>
    </w:p>
    <w:p w14:paraId="779B7A2F" w14:textId="77777777" w:rsidR="00F43E4E" w:rsidRDefault="00F43E4E" w:rsidP="00F43E4E">
      <w:pPr>
        <w:spacing w:after="140" w:line="276" w:lineRule="auto"/>
        <w:jc w:val="both"/>
      </w:pPr>
      <w:r>
        <w:t>Il progetto articola l’immobile su tre livelli, ciascuno con una funzione, una destinazione e un ruolo economico distinti ma interdipendenti.</w:t>
      </w:r>
    </w:p>
    <w:p w14:paraId="22AB49F2" w14:textId="77777777" w:rsidR="00F43E4E" w:rsidRDefault="00F43E4E" w:rsidP="00F43E4E">
      <w:pPr>
        <w:pStyle w:val="Titolo2"/>
      </w:pPr>
      <w:r>
        <w:t>3.1 Ricettività – piano strada (la funzione-àncora, esistente)</w:t>
      </w:r>
    </w:p>
    <w:p w14:paraId="20409FE8" w14:textId="77777777" w:rsidR="00F43E4E" w:rsidRDefault="00F43E4E" w:rsidP="00F43E4E">
      <w:pPr>
        <w:spacing w:after="140" w:line="276" w:lineRule="auto"/>
        <w:jc w:val="both"/>
      </w:pPr>
      <w:r>
        <w:t>L’ostello resta il motore di cassa e il generatore di flusso. La sua valorizzazione passa non da nuovi posti letto ma dall’</w:t>
      </w:r>
      <w:r>
        <w:rPr>
          <w:b/>
          <w:bCs/>
        </w:rPr>
        <w:t>integrazione con le altre due funzioni</w:t>
      </w:r>
      <w:r>
        <w:t>: ospiti del cammino che diventano pubblico degli eventi del piano interrato; servizi e prodotti delle microimprese incubate che arricchiscono l’offerta ricettiva (ristorazione leggera, prodotti del territorio, esperienze).</w:t>
      </w:r>
    </w:p>
    <w:p w14:paraId="6A435CB2" w14:textId="77777777" w:rsidR="00F43E4E" w:rsidRDefault="00F43E4E" w:rsidP="00F43E4E">
      <w:pPr>
        <w:pStyle w:val="Titolo2"/>
      </w:pPr>
      <w:r>
        <w:t>3.2 Cultura ed eventi – piano interrato (riattivazione reversibile)</w:t>
      </w:r>
    </w:p>
    <w:p w14:paraId="35481B91" w14:textId="77777777" w:rsidR="00F43E4E" w:rsidRDefault="00F43E4E" w:rsidP="00F43E4E">
      <w:pPr>
        <w:spacing w:after="140" w:line="276" w:lineRule="auto"/>
        <w:jc w:val="both"/>
      </w:pPr>
      <w:r>
        <w:t>Il piano interrato è riconvertibile in spazio per manifestazioni culturali temporanee con allestimenti leggeri e amovibili. Concettualmente è il corrispettivo – in scala – del formato di museo diffuso “</w:t>
      </w:r>
      <w:r>
        <w:rPr>
          <w:i/>
          <w:iCs/>
        </w:rPr>
        <w:t>Le Stanze dell’Utopia</w:t>
      </w:r>
      <w:r>
        <w:t xml:space="preserve">”. Sul piano economico assume la funzione che in un altro caso già sperimentato nel Comune di Concordia Sagittaria (VE), è stata attribuita alla sala d’assemblea: uno </w:t>
      </w:r>
      <w:r>
        <w:rPr>
          <w:b/>
          <w:bCs/>
        </w:rPr>
        <w:t>spazio a domanda potenziale inespressa che diventa motore di ricavo</w:t>
      </w:r>
      <w:r>
        <w:t xml:space="preserve"> se governato da un tariffario trasparente e differenziato per fascia d’uso (sociale/associativo, istituzionale, commerciale).</w:t>
      </w:r>
    </w:p>
    <w:p w14:paraId="2A5649AB" w14:textId="77777777" w:rsidR="00F43E4E" w:rsidRDefault="00F43E4E" w:rsidP="00F43E4E">
      <w:pPr>
        <w:pStyle w:val="Titolo2"/>
      </w:pPr>
      <w:r>
        <w:t>3.3 Micro-incubazione – piano primo (il completamento)</w:t>
      </w:r>
    </w:p>
    <w:p w14:paraId="4B54DD3E" w14:textId="77777777" w:rsidR="00F43E4E" w:rsidRDefault="00F43E4E" w:rsidP="00F43E4E">
      <w:pPr>
        <w:spacing w:after="140" w:line="276" w:lineRule="auto"/>
        <w:jc w:val="both"/>
      </w:pPr>
      <w:r>
        <w:t xml:space="preserve">Il piano primo ospita un incubatore di dimensioni proporzionate: poche postazioni per microimprese e progetti coerenti con la vocazione del luogo (artigianato, cultura, servizi al turismo lento, prodotti del territorio). È la versione in scala del Cantinon di Villa Mocenigo ad Alvisopoli e mette in moto, nel </w:t>
      </w:r>
      <w:r>
        <w:lastRenderedPageBreak/>
        <w:t xml:space="preserve">tempo, la logica della </w:t>
      </w:r>
      <w:r>
        <w:rPr>
          <w:b/>
          <w:bCs/>
        </w:rPr>
        <w:t>filiera “Prossimi Spazi”</w:t>
      </w:r>
      <w:r>
        <w:t>: le imprese incubate che raggiungono la maturità possono consolidarsi come presenze stabili dell’hub e, in prospettiva, candidarsi a gestire nuovi beni rigenerati sul territorio.</w:t>
      </w:r>
    </w:p>
    <w:p w14:paraId="6B903739" w14:textId="77777777" w:rsidR="00F43E4E" w:rsidRDefault="00F43E4E" w:rsidP="00F43E4E">
      <w:pPr>
        <w:pStyle w:val="Titolo1"/>
      </w:pPr>
      <w:r>
        <w:t>4. Inquadramento giuridico</w:t>
      </w:r>
    </w:p>
    <w:p w14:paraId="16A36B2A" w14:textId="77777777" w:rsidR="00F43E4E" w:rsidRDefault="00F43E4E" w:rsidP="00F43E4E">
      <w:pPr>
        <w:spacing w:after="140" w:line="276" w:lineRule="auto"/>
        <w:jc w:val="both"/>
      </w:pPr>
      <w:r>
        <w:t>L’operazione si colloca su tre piani normativi, da presidiare congiuntamente.</w:t>
      </w:r>
    </w:p>
    <w:p w14:paraId="1652DBA3" w14:textId="77777777" w:rsidR="00F43E4E" w:rsidRDefault="00F43E4E" w:rsidP="00F43E4E">
      <w:pPr>
        <w:pStyle w:val="Titolo2"/>
      </w:pPr>
      <w:r>
        <w:t>4.1 Regime di affidamento del bene</w:t>
      </w:r>
    </w:p>
    <w:p w14:paraId="03C0CA98" w14:textId="3903B5FE" w:rsidR="00F43E4E" w:rsidRPr="006F37EA" w:rsidRDefault="00F43E4E" w:rsidP="00F43E4E">
      <w:pPr>
        <w:spacing w:after="240" w:line="276" w:lineRule="auto"/>
        <w:jc w:val="both"/>
      </w:pPr>
      <w:r>
        <w:t xml:space="preserve">Il bene è oggi gestito tramite </w:t>
      </w:r>
      <w:r>
        <w:rPr>
          <w:b/>
          <w:bCs/>
        </w:rPr>
        <w:t xml:space="preserve">concessione di </w:t>
      </w:r>
      <w:r w:rsidRPr="006F37EA">
        <w:rPr>
          <w:b/>
          <w:bCs/>
        </w:rPr>
        <w:t>servizi</w:t>
      </w:r>
      <w:r w:rsidRPr="006F37EA">
        <w:t xml:space="preserve"> (contratto Prot. 4285 del 14.12.2021 a </w:t>
      </w:r>
      <w:r w:rsidR="00890BD5">
        <w:t>Ass. Culturale Pedagogica La Formica</w:t>
      </w:r>
      <w:r w:rsidRPr="006F37EA">
        <w:t>:</w:t>
      </w:r>
    </w:p>
    <w:p w14:paraId="1628DC8C" w14:textId="433A3CFB" w:rsidR="00F43E4E" w:rsidRPr="006F37EA" w:rsidRDefault="00F43E4E" w:rsidP="00890BD5">
      <w:pPr>
        <w:pStyle w:val="Paragrafoelenco"/>
        <w:numPr>
          <w:ilvl w:val="0"/>
          <w:numId w:val="5"/>
        </w:numPr>
        <w:spacing w:line="276" w:lineRule="auto"/>
        <w:ind w:left="567" w:hanging="425"/>
        <w:contextualSpacing w:val="0"/>
      </w:pPr>
      <w:r w:rsidRPr="006F37EA">
        <w:t xml:space="preserve">decorrenza </w:t>
      </w:r>
      <w:r w:rsidR="00890BD5">
        <w:t>03.08.202</w:t>
      </w:r>
      <w:r w:rsidR="007A7219">
        <w:t>3</w:t>
      </w:r>
      <w:r w:rsidRPr="006F37EA">
        <w:t xml:space="preserve">; </w:t>
      </w:r>
    </w:p>
    <w:p w14:paraId="38A1AA98" w14:textId="77777777" w:rsidR="00F43E4E" w:rsidRPr="006F37EA" w:rsidRDefault="00F43E4E" w:rsidP="00F43E4E">
      <w:pPr>
        <w:pStyle w:val="Paragrafoelenco"/>
        <w:numPr>
          <w:ilvl w:val="0"/>
          <w:numId w:val="5"/>
        </w:numPr>
        <w:spacing w:line="276" w:lineRule="auto"/>
        <w:ind w:left="567" w:hanging="425"/>
        <w:contextualSpacing w:val="0"/>
        <w:jc w:val="both"/>
      </w:pPr>
      <w:r w:rsidRPr="006F37EA">
        <w:t xml:space="preserve">durata </w:t>
      </w:r>
      <w:r w:rsidRPr="00003DD1">
        <w:t>tre anni</w:t>
      </w:r>
      <w:r w:rsidRPr="006F37EA">
        <w:t xml:space="preserve">; </w:t>
      </w:r>
    </w:p>
    <w:p w14:paraId="2D1A6ADA" w14:textId="5943385F" w:rsidR="00F43E4E" w:rsidRPr="006F37EA" w:rsidRDefault="00F43E4E" w:rsidP="00F43E4E">
      <w:pPr>
        <w:pStyle w:val="Paragrafoelenco"/>
        <w:numPr>
          <w:ilvl w:val="0"/>
          <w:numId w:val="5"/>
        </w:numPr>
        <w:spacing w:line="276" w:lineRule="auto"/>
        <w:ind w:left="567" w:hanging="425"/>
        <w:contextualSpacing w:val="0"/>
        <w:jc w:val="both"/>
      </w:pPr>
      <w:r w:rsidRPr="006F37EA">
        <w:t xml:space="preserve">canone € </w:t>
      </w:r>
      <w:r w:rsidR="00890BD5">
        <w:t>1.830,00</w:t>
      </w:r>
      <w:r w:rsidRPr="006F37EA">
        <w:t xml:space="preserve">/anno, IVA inclusa; </w:t>
      </w:r>
    </w:p>
    <w:p w14:paraId="6981FAAB" w14:textId="77777777" w:rsidR="00F43E4E" w:rsidRDefault="00F43E4E" w:rsidP="00F43E4E">
      <w:pPr>
        <w:pStyle w:val="Paragrafoelenco"/>
        <w:numPr>
          <w:ilvl w:val="0"/>
          <w:numId w:val="5"/>
        </w:numPr>
        <w:spacing w:after="140" w:line="276" w:lineRule="auto"/>
        <w:ind w:left="567" w:hanging="425"/>
        <w:contextualSpacing w:val="0"/>
        <w:jc w:val="both"/>
      </w:pPr>
      <w:r>
        <w:t xml:space="preserve">manutenzione ordinaria a carico del concessionario, straordinaria a carico del Comune. </w:t>
      </w:r>
    </w:p>
    <w:p w14:paraId="3A7A6B48" w14:textId="77777777" w:rsidR="00F43E4E" w:rsidRDefault="00F43E4E" w:rsidP="00F43E4E">
      <w:pPr>
        <w:spacing w:after="140" w:line="276" w:lineRule="auto"/>
        <w:jc w:val="both"/>
      </w:pPr>
      <w:r>
        <w:t>Il contratto è stato stipulato nella vigenza del d.lgs. n</w:t>
      </w:r>
      <w:r w:rsidRPr="00FA3DB3">
        <w:t xml:space="preserve">. 50/2016. Oggi, un nuovo affidamento – se analogo al precedente – </w:t>
      </w:r>
      <w:r w:rsidRPr="00003DD1">
        <w:t xml:space="preserve">ricadrebbe nell’ambito </w:t>
      </w:r>
      <w:r>
        <w:t xml:space="preserve">di applicazione </w:t>
      </w:r>
      <w:r w:rsidRPr="00003DD1">
        <w:t>del d.lgs. n. 36/2023</w:t>
      </w:r>
      <w:r w:rsidRPr="00FA3DB3">
        <w: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43E4E" w14:paraId="0C45DC2A" w14:textId="77777777" w:rsidTr="004504FA">
        <w:tc>
          <w:tcPr>
            <w:tcW w:w="9360" w:type="dxa"/>
            <w:tcBorders>
              <w:top w:val="single" w:sz="1" w:space="0" w:color="E3ECE9"/>
              <w:left w:val="single" w:sz="24" w:space="0" w:color="2C5E55"/>
              <w:bottom w:val="single" w:sz="1" w:space="0" w:color="E3ECE9"/>
              <w:right w:val="single" w:sz="1" w:space="0" w:color="E3ECE9"/>
            </w:tcBorders>
            <w:shd w:val="clear" w:color="auto" w:fill="E3ECE9"/>
            <w:tcMar>
              <w:top w:w="140" w:type="dxa"/>
              <w:left w:w="200" w:type="dxa"/>
              <w:bottom w:w="140" w:type="dxa"/>
              <w:right w:w="200" w:type="dxa"/>
            </w:tcMar>
          </w:tcPr>
          <w:p w14:paraId="057277FC" w14:textId="77777777" w:rsidR="00F43E4E" w:rsidRDefault="00F43E4E" w:rsidP="004504FA">
            <w:pPr>
              <w:spacing w:after="60"/>
            </w:pPr>
            <w:r>
              <w:rPr>
                <w:b/>
                <w:bCs/>
                <w:color w:val="2C5E55"/>
                <w:sz w:val="21"/>
                <w:szCs w:val="21"/>
              </w:rPr>
              <w:t>Snodo strategico — la finestra temporale</w:t>
            </w:r>
          </w:p>
          <w:p w14:paraId="1371B553" w14:textId="46902D27" w:rsidR="00F43E4E" w:rsidRDefault="00F43E4E" w:rsidP="004504FA">
            <w:pPr>
              <w:spacing w:line="264" w:lineRule="auto"/>
              <w:jc w:val="both"/>
            </w:pPr>
            <w:r>
              <w:t>La concessione attuale, decorrente dal 0</w:t>
            </w:r>
            <w:r w:rsidR="007A7219">
              <w:t>3</w:t>
            </w:r>
            <w:r>
              <w:t>.0</w:t>
            </w:r>
            <w:r w:rsidR="007A7219">
              <w:t>8</w:t>
            </w:r>
            <w:r>
              <w:t>.202</w:t>
            </w:r>
            <w:r w:rsidR="007A7219">
              <w:t>3</w:t>
            </w:r>
            <w:r>
              <w:t xml:space="preserve"> per tre anni, </w:t>
            </w:r>
            <w:r w:rsidRPr="006F37EA">
              <w:t xml:space="preserve">risulta </w:t>
            </w:r>
            <w:r w:rsidRPr="006F37EA">
              <w:rPr>
                <w:b/>
                <w:bCs/>
              </w:rPr>
              <w:t xml:space="preserve">in scadenza </w:t>
            </w:r>
            <w:r w:rsidR="007A7219">
              <w:rPr>
                <w:b/>
                <w:bCs/>
              </w:rPr>
              <w:t>il 03.08.2026</w:t>
            </w:r>
            <w:r w:rsidRPr="006F37EA">
              <w:t xml:space="preserve">. Se così è, l’Amministrazione si trova nel momento ottimale per </w:t>
            </w:r>
            <w:r w:rsidRPr="006F37EA">
              <w:rPr>
                <w:b/>
                <w:bCs/>
              </w:rPr>
              <w:t>bandire un nuovo affidamento con un progetto ampliato a tre funzioni</w:t>
            </w:r>
            <w:r w:rsidRPr="006F37EA">
              <w:t>, anziché dover innestare le nuove funzioni su un contratto in corso. La verifica dello stato esatto della concessione è la prima domanda da porre (§ 8, blocco A).</w:t>
            </w:r>
          </w:p>
        </w:tc>
      </w:tr>
    </w:tbl>
    <w:p w14:paraId="6F1BF4C5" w14:textId="77777777" w:rsidR="00F43E4E" w:rsidRDefault="00F43E4E" w:rsidP="00F43E4E">
      <w:pPr>
        <w:spacing w:after="140" w:line="276" w:lineRule="auto"/>
        <w:jc w:val="both"/>
      </w:pPr>
      <w:r>
        <w:t xml:space="preserve">Alcune clausole del contratto attuale servono comunque dei possibili </w:t>
      </w:r>
      <w:r w:rsidRPr="00003DD1">
        <w:rPr>
          <w:b/>
          <w:bCs/>
        </w:rPr>
        <w:t>“</w:t>
      </w:r>
      <w:r>
        <w:rPr>
          <w:b/>
          <w:bCs/>
          <w:i/>
          <w:iCs/>
        </w:rPr>
        <w:t>assist</w:t>
      </w:r>
      <w:r w:rsidRPr="00003DD1">
        <w:rPr>
          <w:b/>
          <w:bCs/>
        </w:rPr>
        <w:t>”</w:t>
      </w:r>
      <w:r>
        <w:rPr>
          <w:b/>
          <w:bCs/>
        </w:rPr>
        <w:t xml:space="preserve"> giuridici</w:t>
      </w:r>
      <w:r>
        <w:t xml:space="preserve">: </w:t>
      </w:r>
    </w:p>
    <w:p w14:paraId="1E8A2EA4" w14:textId="77777777" w:rsidR="00F43E4E" w:rsidRDefault="00F43E4E" w:rsidP="00F43E4E">
      <w:pPr>
        <w:pStyle w:val="Paragrafoelenco"/>
        <w:numPr>
          <w:ilvl w:val="0"/>
          <w:numId w:val="6"/>
        </w:numPr>
        <w:spacing w:line="276" w:lineRule="auto"/>
        <w:ind w:left="426" w:hanging="284"/>
        <w:contextualSpacing w:val="0"/>
        <w:jc w:val="both"/>
      </w:pPr>
      <w:r>
        <w:t>l’art. 2 prevede la proroga in caso di presentazione di un “</w:t>
      </w:r>
      <w:r w:rsidRPr="00266B96">
        <w:rPr>
          <w:i/>
          <w:iCs/>
        </w:rPr>
        <w:t xml:space="preserve">progetto definitivo </w:t>
      </w:r>
      <w:r>
        <w:rPr>
          <w:i/>
          <w:iCs/>
        </w:rPr>
        <w:t>(</w:t>
      </w:r>
      <w:r w:rsidRPr="00266B96">
        <w:rPr>
          <w:i/>
          <w:iCs/>
        </w:rPr>
        <w:t>…</w:t>
      </w:r>
      <w:r>
        <w:rPr>
          <w:i/>
          <w:iCs/>
        </w:rPr>
        <w:t>)</w:t>
      </w:r>
      <w:r w:rsidRPr="00266B96">
        <w:rPr>
          <w:i/>
          <w:iCs/>
        </w:rPr>
        <w:t xml:space="preserve"> per la sistemazione ed utilizzazione del piano primo</w:t>
      </w:r>
      <w:r>
        <w:t xml:space="preserve">” (base per l’incubatore); </w:t>
      </w:r>
    </w:p>
    <w:p w14:paraId="362C13D5" w14:textId="77777777" w:rsidR="00F43E4E" w:rsidRDefault="00F43E4E" w:rsidP="00F43E4E">
      <w:pPr>
        <w:pStyle w:val="Paragrafoelenco"/>
        <w:numPr>
          <w:ilvl w:val="0"/>
          <w:numId w:val="6"/>
        </w:numPr>
        <w:spacing w:line="276" w:lineRule="auto"/>
        <w:ind w:left="426" w:hanging="284"/>
        <w:contextualSpacing w:val="0"/>
        <w:jc w:val="both"/>
      </w:pPr>
      <w:r>
        <w:t>gli artt. 4 e 12 ammettono attività di valorizzazione, esposizioni temporanee ed eventi, previa autorizzazione (base per lo spazio culturale);</w:t>
      </w:r>
    </w:p>
    <w:p w14:paraId="5401AC71" w14:textId="77777777" w:rsidR="00F43E4E" w:rsidRDefault="00F43E4E" w:rsidP="00F43E4E">
      <w:pPr>
        <w:pStyle w:val="Paragrafoelenco"/>
        <w:numPr>
          <w:ilvl w:val="0"/>
          <w:numId w:val="6"/>
        </w:numPr>
        <w:spacing w:after="140" w:line="276" w:lineRule="auto"/>
        <w:ind w:left="426" w:hanging="284"/>
        <w:contextualSpacing w:val="0"/>
        <w:jc w:val="both"/>
      </w:pPr>
      <w:r>
        <w:t>l’art. 20 vieta la subconcessione ma ammette la collaborazione di terzi per eventi: dato rilevante per il disegno della governance (cfr. § 4.3).</w:t>
      </w:r>
    </w:p>
    <w:p w14:paraId="5F4151A0" w14:textId="77777777" w:rsidR="00F43E4E" w:rsidRDefault="00F43E4E" w:rsidP="00F43E4E">
      <w:pPr>
        <w:pStyle w:val="Titolo2"/>
      </w:pPr>
      <w:r>
        <w:t>4.2 Tutela del bene culturale</w:t>
      </w:r>
    </w:p>
    <w:p w14:paraId="67E55A83" w14:textId="77777777" w:rsidR="00F43E4E" w:rsidRDefault="00F43E4E" w:rsidP="00F43E4E">
      <w:pPr>
        <w:spacing w:after="140" w:line="276" w:lineRule="auto"/>
        <w:jc w:val="both"/>
      </w:pPr>
      <w:r>
        <w:t xml:space="preserve">Trattandosi di immobile pubblico di origine trecentesca, opera la </w:t>
      </w:r>
      <w:r>
        <w:rPr>
          <w:b/>
          <w:bCs/>
        </w:rPr>
        <w:t>presunzione di interesse culturale</w:t>
      </w:r>
      <w:r>
        <w:t xml:space="preserve"> </w:t>
      </w:r>
      <w:r w:rsidRPr="00003DD1">
        <w:rPr>
          <w:i/>
          <w:iCs/>
        </w:rPr>
        <w:t>ex</w:t>
      </w:r>
      <w:r>
        <w:t xml:space="preserve"> artt. 10-12 del d.lgs. n. 42/2004. </w:t>
      </w:r>
      <w:r w:rsidRPr="006F37EA">
        <w:t xml:space="preserve">Prima di qualunque intervento sul piano interrato e sul piano primo occorre </w:t>
      </w:r>
      <w:r w:rsidRPr="006F37EA">
        <w:rPr>
          <w:b/>
          <w:bCs/>
        </w:rPr>
        <w:t>verificare l’esistenza del vincolo e acquisire la preventiva autorizzazione della Soprintendenza</w:t>
      </w:r>
      <w:r w:rsidRPr="006F37EA">
        <w:t>.</w:t>
      </w:r>
      <w:r>
        <w:t xml:space="preserve"> È il medesimo presidio già attivato a Villa Mocenigo ad Alvisopoli: l’autorizzazione </w:t>
      </w:r>
      <w:r w:rsidRPr="00003DD1">
        <w:rPr>
          <w:i/>
          <w:iCs/>
        </w:rPr>
        <w:t>ex</w:t>
      </w:r>
      <w:r>
        <w:t xml:space="preserve"> d.lgs. n. 42/2004 non è una formalità ma un presupposto sostanziale che si colloca </w:t>
      </w:r>
      <w:r w:rsidRPr="00BA58DF">
        <w:t>a monte della SCIA edilizia. La reversibilità degli allestimenti del piano interrato gioca qui a favore.</w:t>
      </w:r>
    </w:p>
    <w:p w14:paraId="64CE494D" w14:textId="77777777" w:rsidR="00F43E4E" w:rsidRDefault="00F43E4E" w:rsidP="00F43E4E">
      <w:pPr>
        <w:pStyle w:val="Titolo2"/>
      </w:pPr>
      <w:r>
        <w:lastRenderedPageBreak/>
        <w:t>4.3 Governance e supporto all’incubazione</w:t>
      </w:r>
    </w:p>
    <w:p w14:paraId="58DEF686" w14:textId="77777777" w:rsidR="00F43E4E" w:rsidRDefault="00F43E4E" w:rsidP="00F43E4E">
      <w:pPr>
        <w:spacing w:after="140" w:line="276" w:lineRule="auto"/>
        <w:jc w:val="both"/>
      </w:pPr>
      <w:r>
        <w:t xml:space="preserve">Sembrerebbe che, a differenza di Villa Mocenigo ad Alvisopoli, la scala ridotta dell’immobile e il numero contenuto di postazioni </w:t>
      </w:r>
      <w:r>
        <w:rPr>
          <w:b/>
          <w:bCs/>
        </w:rPr>
        <w:t xml:space="preserve">non rendano necessario un veicolo commerciale dedicato </w:t>
      </w:r>
      <w:r w:rsidRPr="00003DD1">
        <w:t>(</w:t>
      </w:r>
      <w:r w:rsidRPr="00003DD1">
        <w:rPr>
          <w:i/>
          <w:iCs/>
        </w:rPr>
        <w:t>e.g.</w:t>
      </w:r>
      <w:r w:rsidRPr="002A6E9A">
        <w:t xml:space="preserve"> </w:t>
      </w:r>
      <w:r w:rsidRPr="00003DD1">
        <w:t xml:space="preserve">una </w:t>
      </w:r>
      <w:proofErr w:type="spellStart"/>
      <w:r w:rsidRPr="00003DD1">
        <w:t>S.r.l.s</w:t>
      </w:r>
      <w:proofErr w:type="spellEnd"/>
      <w:r w:rsidRPr="00003DD1">
        <w:t>.)</w:t>
      </w:r>
      <w:r w:rsidRPr="002A6E9A">
        <w:t>.</w:t>
      </w:r>
      <w:r>
        <w:t xml:space="preserve"> Le poche microimprese incubate sono già soggetti d’impresa autonomi, con propria partita IVA, e per il supporto possono fare riferimento direttamente a </w:t>
      </w:r>
      <w:r>
        <w:rPr>
          <w:b/>
          <w:bCs/>
        </w:rPr>
        <w:t>un’associazione di categoria del territorio</w:t>
      </w:r>
      <w:r>
        <w:t xml:space="preserve"> (</w:t>
      </w:r>
      <w:r>
        <w:rPr>
          <w:i/>
          <w:iCs/>
        </w:rPr>
        <w:t xml:space="preserve">e.g. </w:t>
      </w:r>
      <w:r>
        <w:t>CNA, Confartigianato o Confcommercio dell’area senese) oppure all’</w:t>
      </w:r>
      <w:r>
        <w:rPr>
          <w:b/>
          <w:bCs/>
        </w:rPr>
        <w:t>incubatore dell’università più vicina</w:t>
      </w:r>
      <w:r>
        <w:t xml:space="preserve">: il </w:t>
      </w:r>
      <w:r>
        <w:rPr>
          <w:b/>
          <w:bCs/>
        </w:rPr>
        <w:t>Santa Chiara Lab dell’Università di Siena</w:t>
      </w:r>
      <w:r>
        <w:t xml:space="preserve"> (a circa 30 km di distanza), polo di innovazione e incubazione dell’Ateneo, attivo su programmi di accelerazione anche in collaborazione con la Fondazione Monte dei Paschi di Siena.</w:t>
      </w:r>
    </w:p>
    <w:p w14:paraId="7CA44D90" w14:textId="6160FA40" w:rsidR="00F43E4E" w:rsidRDefault="00F43E4E" w:rsidP="00F43E4E">
      <w:pPr>
        <w:spacing w:after="140" w:line="276" w:lineRule="auto"/>
        <w:jc w:val="both"/>
      </w:pPr>
      <w:r>
        <w:t xml:space="preserve">La funzione commerciale propriamente detta resta quella della ricettività, già in capo all’attuale ente gestore; le funzioni culturali e associative possono essere affidate in </w:t>
      </w:r>
      <w:r>
        <w:rPr>
          <w:b/>
          <w:bCs/>
        </w:rPr>
        <w:t>co-gestione a un ente del Terzo settore</w:t>
      </w:r>
      <w:r>
        <w:t xml:space="preserve">. La gestione commerciale diretta da parte di un’APS esporrebbe a rischi di incompatibilità con il Codice del Terzo settore (d.lgs. n. 117/2017); inoltre, il divieto di subconcessione (art. 20 dell’attuale contratto di gestione) impone che l’eventuale APS operi come </w:t>
      </w:r>
      <w:r>
        <w:rPr>
          <w:b/>
          <w:bCs/>
        </w:rPr>
        <w:t>partner operativo di co-gestione</w:t>
      </w:r>
      <w:r>
        <w:t>, non come sub-concessionario autonomo.</w:t>
      </w:r>
    </w:p>
    <w:p w14:paraId="46409A2D" w14:textId="77777777" w:rsidR="00F43E4E" w:rsidRDefault="00F43E4E" w:rsidP="00F43E4E">
      <w:pPr>
        <w:pStyle w:val="Titolo1"/>
      </w:pPr>
      <w:r>
        <w:t>5. Il modello economico-gestionale</w:t>
      </w:r>
    </w:p>
    <w:p w14:paraId="37679CC5" w14:textId="77777777" w:rsidR="00F43E4E" w:rsidRDefault="00F43E4E" w:rsidP="00F43E4E">
      <w:pPr>
        <w:spacing w:after="140" w:line="276" w:lineRule="auto"/>
        <w:jc w:val="both"/>
      </w:pPr>
      <w:r>
        <w:t>Il modello economico-gestionale HCR viene riparametrato sulla scala dell’immobile, mantenendo le tre componenti del conto di gestione già collaudate a Villa Mocenigo, ciascuna ricondotta alla funzione che la genera:</w:t>
      </w:r>
    </w:p>
    <w:p w14:paraId="1CF6050A" w14:textId="77777777" w:rsidR="00F43E4E" w:rsidRDefault="00F43E4E" w:rsidP="00F43E4E">
      <w:pPr>
        <w:pStyle w:val="Paragrafoelenco"/>
        <w:numPr>
          <w:ilvl w:val="0"/>
          <w:numId w:val="1"/>
        </w:numPr>
        <w:spacing w:after="90" w:line="270" w:lineRule="auto"/>
        <w:contextualSpacing w:val="0"/>
        <w:jc w:val="both"/>
      </w:pPr>
      <w:r>
        <w:rPr>
          <w:b/>
          <w:bCs/>
        </w:rPr>
        <w:t xml:space="preserve">Ricettività. </w:t>
      </w:r>
      <w:r>
        <w:t xml:space="preserve">Ricavi da tariffe dell’ostello (già esistenti) al </w:t>
      </w:r>
      <w:r w:rsidRPr="00CD7DBB">
        <w:t>netto dell’eventuale canone concessorio (o di altra natura) verso il Comune e dei costi operativi e di manu</w:t>
      </w:r>
      <w:r>
        <w:t>tenzione ordinaria. È la base di cassa su cui si innestano le altre voci.</w:t>
      </w:r>
    </w:p>
    <w:p w14:paraId="252C1173" w14:textId="77777777" w:rsidR="00F43E4E" w:rsidRPr="0059487D" w:rsidRDefault="00F43E4E" w:rsidP="00F43E4E">
      <w:pPr>
        <w:pStyle w:val="Paragrafoelenco"/>
        <w:numPr>
          <w:ilvl w:val="0"/>
          <w:numId w:val="1"/>
        </w:numPr>
        <w:spacing w:after="90" w:line="270" w:lineRule="auto"/>
        <w:contextualSpacing w:val="0"/>
        <w:jc w:val="both"/>
      </w:pPr>
      <w:r>
        <w:rPr>
          <w:b/>
          <w:bCs/>
        </w:rPr>
        <w:t xml:space="preserve">Incubazione – modello a due voci. </w:t>
      </w:r>
      <w:r>
        <w:t xml:space="preserve">Per le postazioni del piano primo si applica lo schema definitivo, </w:t>
      </w:r>
      <w:r>
        <w:rPr>
          <w:b/>
          <w:bCs/>
        </w:rPr>
        <w:t xml:space="preserve">privo di canone </w:t>
      </w:r>
      <w:r w:rsidRPr="0059487D">
        <w:rPr>
          <w:b/>
          <w:bCs/>
        </w:rPr>
        <w:t>fisso</w:t>
      </w:r>
      <w:r w:rsidRPr="0059487D">
        <w:t xml:space="preserve">: </w:t>
      </w:r>
    </w:p>
    <w:p w14:paraId="26A620D3" w14:textId="77777777" w:rsidR="00F43E4E" w:rsidRPr="0059487D" w:rsidRDefault="00F43E4E" w:rsidP="00F43E4E">
      <w:pPr>
        <w:pStyle w:val="Paragrafoelenco"/>
        <w:numPr>
          <w:ilvl w:val="0"/>
          <w:numId w:val="7"/>
        </w:numPr>
        <w:spacing w:line="270" w:lineRule="auto"/>
        <w:ind w:left="993" w:hanging="426"/>
        <w:contextualSpacing w:val="0"/>
        <w:jc w:val="both"/>
      </w:pPr>
      <w:r w:rsidRPr="0059487D">
        <w:t xml:space="preserve">voce 1 = rimborso spese omnicomprensivo (mq × tariffa unitaria mensile); </w:t>
      </w:r>
    </w:p>
    <w:p w14:paraId="4E461365" w14:textId="77777777" w:rsidR="00F43E4E" w:rsidRDefault="00F43E4E" w:rsidP="00F43E4E">
      <w:pPr>
        <w:pStyle w:val="Paragrafoelenco"/>
        <w:numPr>
          <w:ilvl w:val="0"/>
          <w:numId w:val="7"/>
        </w:numPr>
        <w:spacing w:after="90" w:line="270" w:lineRule="auto"/>
        <w:ind w:left="993" w:hanging="426"/>
        <w:contextualSpacing w:val="0"/>
        <w:jc w:val="both"/>
      </w:pPr>
      <w:r w:rsidRPr="0059487D">
        <w:t>voce 2 = quota sul fatturato lordo dell’incubato.</w:t>
      </w:r>
      <w:r>
        <w:t xml:space="preserve"> </w:t>
      </w:r>
    </w:p>
    <w:p w14:paraId="7162F43D" w14:textId="77777777" w:rsidR="00F43E4E" w:rsidRDefault="00F43E4E" w:rsidP="00F43E4E">
      <w:pPr>
        <w:pStyle w:val="Paragrafoelenco"/>
        <w:numPr>
          <w:ilvl w:val="0"/>
          <w:numId w:val="1"/>
        </w:numPr>
        <w:spacing w:after="90" w:line="270" w:lineRule="auto"/>
        <w:contextualSpacing w:val="0"/>
        <w:jc w:val="both"/>
      </w:pPr>
      <w:r>
        <w:rPr>
          <w:b/>
          <w:bCs/>
        </w:rPr>
        <w:t xml:space="preserve">Spazio culturale – tariffario differenziato. </w:t>
      </w:r>
      <w:r>
        <w:t>Lo spazio del piano interrato genera ricavo tramite un tariffario per l’uso a fasce (associativo/sociale, istituzionale, commerciale), con regole trasparenti che sostituiscono la concessione discrezionale, secondo il principio collaudato nel caso di Concordia Sagittaria (VE).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43E4E" w14:paraId="26177C24" w14:textId="77777777" w:rsidTr="004504FA">
        <w:tc>
          <w:tcPr>
            <w:tcW w:w="9360" w:type="dxa"/>
            <w:tcBorders>
              <w:top w:val="single" w:sz="1" w:space="0" w:color="F5F0E8"/>
              <w:left w:val="single" w:sz="24" w:space="0" w:color="C9A227"/>
              <w:bottom w:val="single" w:sz="1" w:space="0" w:color="F5F0E8"/>
              <w:right w:val="single" w:sz="1" w:space="0" w:color="F5F0E8"/>
            </w:tcBorders>
            <w:shd w:val="clear" w:color="auto" w:fill="F5F0E8"/>
            <w:tcMar>
              <w:top w:w="140" w:type="dxa"/>
              <w:left w:w="200" w:type="dxa"/>
              <w:bottom w:w="140" w:type="dxa"/>
              <w:right w:w="200" w:type="dxa"/>
            </w:tcMar>
          </w:tcPr>
          <w:p w14:paraId="7C40AD3C" w14:textId="77777777" w:rsidR="00F43E4E" w:rsidRDefault="00F43E4E" w:rsidP="004504FA">
            <w:pPr>
              <w:spacing w:after="60"/>
            </w:pPr>
            <w:r>
              <w:rPr>
                <w:b/>
                <w:bCs/>
                <w:color w:val="C9A227"/>
                <w:sz w:val="21"/>
                <w:szCs w:val="21"/>
              </w:rPr>
              <w:t>Sostenibilità economica e finanziamento del completamento</w:t>
            </w:r>
          </w:p>
          <w:p w14:paraId="5842D859" w14:textId="77777777" w:rsidR="00F43E4E" w:rsidRDefault="00F43E4E" w:rsidP="004504FA">
            <w:pPr>
              <w:spacing w:after="80" w:line="264" w:lineRule="auto"/>
              <w:jc w:val="both"/>
            </w:pPr>
            <w:r>
              <w:t xml:space="preserve">I ricavi incrementali delle due nuove funzioni non vanno sottostimati. L’immobile è già in ottime condizioni e non richiede un recupero strutturale, </w:t>
            </w:r>
            <w:r w:rsidRPr="0059487D">
              <w:t xml:space="preserve">ma soltanto il </w:t>
            </w:r>
            <w:r w:rsidRPr="00003DD1">
              <w:rPr>
                <w:b/>
                <w:bCs/>
              </w:rPr>
              <w:t>recupero</w:t>
            </w:r>
            <w:r w:rsidRPr="0059487D">
              <w:rPr>
                <w:b/>
                <w:bCs/>
              </w:rPr>
              <w:t xml:space="preserve"> del piano primo</w:t>
            </w:r>
            <w:r>
              <w:rPr>
                <w:b/>
                <w:bCs/>
              </w:rPr>
              <w:t xml:space="preserve"> e del piano interrato</w:t>
            </w:r>
            <w:r>
              <w:t>: in questo quadro le entrate possono concorrere a finanziare anche tale completamento, e non solo a coprire i costi di esercizio delle nuove funzioni.</w:t>
            </w:r>
          </w:p>
          <w:p w14:paraId="1772AA6C" w14:textId="77777777" w:rsidR="00F43E4E" w:rsidRDefault="00F43E4E" w:rsidP="004504FA">
            <w:pPr>
              <w:spacing w:after="80" w:line="264" w:lineRule="auto"/>
              <w:jc w:val="both"/>
            </w:pPr>
            <w:r>
              <w:rPr>
                <w:b/>
                <w:bCs/>
              </w:rPr>
              <w:t xml:space="preserve">Via dell’investimento con rientro. </w:t>
            </w:r>
            <w:r>
              <w:t xml:space="preserve">Una strada percorribile è la collaborazione con un’associazione di categoria del territorio: il partner finanzia la sistemazione del piano primo e rientra dell’investimento </w:t>
            </w:r>
            <w:r>
              <w:lastRenderedPageBreak/>
              <w:t xml:space="preserve">attraverso il riconoscimento — in quota o per intero — della voce 2 (percentuale sul fatturato lordo degli incubati) per un periodo definito. </w:t>
            </w:r>
            <w:r w:rsidRPr="00003DD1">
              <w:t>Da individuare</w:t>
            </w:r>
            <w:r>
              <w:rPr>
                <w:b/>
                <w:bCs/>
              </w:rPr>
              <w:t xml:space="preserve"> </w:t>
            </w:r>
            <w:r>
              <w:t>lo strumento giuridico più idoneo allo scopo: il meccanismo configura una forma di “partenariato” da formalizzare con il Comune (l’attuale contratto di gestione prevede che le migliorie passino alla proprietà pubblica salvo diverso accordo); se il partner è un ente del Terzo settore, il rientro è ammesso solo entro i limiti di non distribuzione degli utili.</w:t>
            </w:r>
          </w:p>
          <w:p w14:paraId="2500ADC7" w14:textId="77777777" w:rsidR="00F43E4E" w:rsidRDefault="00F43E4E" w:rsidP="004504FA">
            <w:pPr>
              <w:spacing w:line="264" w:lineRule="auto"/>
              <w:jc w:val="both"/>
            </w:pPr>
            <w:r>
              <w:rPr>
                <w:b/>
                <w:bCs/>
              </w:rPr>
              <w:t xml:space="preserve">Via del mecenatismo culturale </w:t>
            </w:r>
            <w:r w:rsidRPr="00FC0E65">
              <w:rPr>
                <w:b/>
                <w:bCs/>
              </w:rPr>
              <w:t xml:space="preserve">(Art Bonus). </w:t>
            </w:r>
            <w:r w:rsidRPr="00FC0E65">
              <w:t>In alternativa, il completamento può essere sostenuto da erogazioni liberali con beneficio fiscale, da concertare con</w:t>
            </w:r>
            <w:r>
              <w:t xml:space="preserve"> il Comune: l’Art Bonus riconosce un credito d’imposta del 65% sulle donazioni per il restauro di beni culturali pubblici, esteso anche alle erogazioni a favore del concessionario/affidatario del bene, subordinato però al riconoscimento dell’interesse culturale dell’immobile (cfr. § 4.2). </w:t>
            </w:r>
            <w:r>
              <w:rPr>
                <w:b/>
                <w:bCs/>
              </w:rPr>
              <w:t xml:space="preserve">Le due </w:t>
            </w:r>
            <w:r w:rsidRPr="00FC0E65">
              <w:rPr>
                <w:b/>
                <w:bCs/>
              </w:rPr>
              <w:t>vie non sono cumulabili sulla stessa somma</w:t>
            </w:r>
            <w:r w:rsidRPr="00FC0E65">
              <w:t>: l’Art Bonus presuppone una liberalità senza contropartita, incompatibile con il rientro tramite voce 2.</w:t>
            </w:r>
          </w:p>
        </w:tc>
      </w:tr>
    </w:tbl>
    <w:p w14:paraId="6E024A8A" w14:textId="77777777" w:rsidR="00F43E4E" w:rsidRDefault="00F43E4E" w:rsidP="00F43E4E">
      <w:pPr>
        <w:pStyle w:val="Titolo1"/>
      </w:pPr>
      <w:r>
        <w:t>6. Adattamenti rispetto a Villa Mocenigo ad Alvisopoli</w:t>
      </w:r>
    </w:p>
    <w:p w14:paraId="68F28BB0" w14:textId="77777777" w:rsidR="00F43E4E" w:rsidRDefault="00F43E4E" w:rsidP="00F43E4E">
      <w:pPr>
        <w:spacing w:after="140" w:line="276" w:lineRule="auto"/>
        <w:jc w:val="both"/>
      </w:pPr>
      <w:r>
        <w:t>La replica richiede di ridurre la complessità mantenendo la coerenza del metodo. Sintesi delle corrispondenze e degli scostamenti:</w:t>
      </w:r>
    </w:p>
    <w:p w14:paraId="3BE5CD02" w14:textId="77777777" w:rsidR="00F43E4E" w:rsidRDefault="00F43E4E" w:rsidP="00F43E4E">
      <w:pPr>
        <w:spacing w:after="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480"/>
        <w:gridCol w:w="3480"/>
      </w:tblGrid>
      <w:tr w:rsidR="00F43E4E" w14:paraId="163E3FAA" w14:textId="77777777" w:rsidTr="004504FA">
        <w:trPr>
          <w:tblHeader/>
        </w:trPr>
        <w:tc>
          <w:tcPr>
            <w:tcW w:w="2400" w:type="dxa"/>
            <w:tcBorders>
              <w:top w:val="single" w:sz="1" w:space="0" w:color="CCCCCC"/>
              <w:left w:val="single" w:sz="1" w:space="0" w:color="CCCCCC"/>
              <w:bottom w:val="single" w:sz="1" w:space="0" w:color="CCCCCC"/>
              <w:right w:val="single" w:sz="1" w:space="0" w:color="CCCCCC"/>
            </w:tcBorders>
            <w:shd w:val="clear" w:color="auto" w:fill="2C5E55"/>
            <w:tcMar>
              <w:top w:w="70" w:type="dxa"/>
              <w:left w:w="110" w:type="dxa"/>
              <w:bottom w:w="70" w:type="dxa"/>
              <w:right w:w="110" w:type="dxa"/>
            </w:tcMar>
          </w:tcPr>
          <w:p w14:paraId="79F6990B" w14:textId="77777777" w:rsidR="00F43E4E" w:rsidRDefault="00F43E4E" w:rsidP="004504FA">
            <w:pPr>
              <w:jc w:val="both"/>
            </w:pPr>
            <w:r>
              <w:rPr>
                <w:b/>
                <w:bCs/>
                <w:color w:val="FFFFFF"/>
                <w:sz w:val="19"/>
                <w:szCs w:val="19"/>
              </w:rPr>
              <w:t>Dimensione</w:t>
            </w:r>
          </w:p>
        </w:tc>
        <w:tc>
          <w:tcPr>
            <w:tcW w:w="3480" w:type="dxa"/>
            <w:tcBorders>
              <w:top w:val="single" w:sz="1" w:space="0" w:color="CCCCCC"/>
              <w:left w:val="single" w:sz="1" w:space="0" w:color="CCCCCC"/>
              <w:bottom w:val="single" w:sz="1" w:space="0" w:color="CCCCCC"/>
              <w:right w:val="single" w:sz="1" w:space="0" w:color="CCCCCC"/>
            </w:tcBorders>
            <w:shd w:val="clear" w:color="auto" w:fill="2C5E55"/>
            <w:tcMar>
              <w:top w:w="70" w:type="dxa"/>
              <w:left w:w="110" w:type="dxa"/>
              <w:bottom w:w="70" w:type="dxa"/>
              <w:right w:w="110" w:type="dxa"/>
            </w:tcMar>
          </w:tcPr>
          <w:p w14:paraId="045A3A9A" w14:textId="77777777" w:rsidR="00F43E4E" w:rsidRDefault="00F43E4E" w:rsidP="004504FA">
            <w:pPr>
              <w:jc w:val="both"/>
            </w:pPr>
            <w:r>
              <w:rPr>
                <w:b/>
                <w:bCs/>
                <w:color w:val="FFFFFF"/>
                <w:sz w:val="19"/>
                <w:szCs w:val="19"/>
              </w:rPr>
              <w:t>Alvisopoli (applicazione)</w:t>
            </w:r>
          </w:p>
        </w:tc>
        <w:tc>
          <w:tcPr>
            <w:tcW w:w="3480" w:type="dxa"/>
            <w:tcBorders>
              <w:top w:val="single" w:sz="1" w:space="0" w:color="CCCCCC"/>
              <w:left w:val="single" w:sz="1" w:space="0" w:color="CCCCCC"/>
              <w:bottom w:val="single" w:sz="1" w:space="0" w:color="CCCCCC"/>
              <w:right w:val="single" w:sz="1" w:space="0" w:color="CCCCCC"/>
            </w:tcBorders>
            <w:shd w:val="clear" w:color="auto" w:fill="2C5E55"/>
            <w:tcMar>
              <w:top w:w="70" w:type="dxa"/>
              <w:left w:w="110" w:type="dxa"/>
              <w:bottom w:w="70" w:type="dxa"/>
              <w:right w:w="110" w:type="dxa"/>
            </w:tcMar>
          </w:tcPr>
          <w:p w14:paraId="1486E650" w14:textId="77777777" w:rsidR="00F43E4E" w:rsidRDefault="00F43E4E" w:rsidP="004504FA">
            <w:pPr>
              <w:jc w:val="both"/>
            </w:pPr>
            <w:r>
              <w:rPr>
                <w:b/>
                <w:bCs/>
                <w:color w:val="FFFFFF"/>
                <w:sz w:val="19"/>
                <w:szCs w:val="19"/>
              </w:rPr>
              <w:t>Cartiera La Buca (replica in scala)</w:t>
            </w:r>
          </w:p>
        </w:tc>
      </w:tr>
      <w:tr w:rsidR="00F43E4E" w14:paraId="3DFB81E6" w14:textId="77777777" w:rsidTr="004504FA">
        <w:tc>
          <w:tcPr>
            <w:tcW w:w="2400" w:type="dxa"/>
            <w:tcBorders>
              <w:top w:val="single" w:sz="1" w:space="0" w:color="CCCCCC"/>
              <w:left w:val="single" w:sz="1" w:space="0" w:color="CCCCCC"/>
              <w:bottom w:val="single" w:sz="1" w:space="0" w:color="CCCCCC"/>
              <w:right w:val="single" w:sz="1" w:space="0" w:color="CCCCCC"/>
            </w:tcBorders>
            <w:shd w:val="clear" w:color="auto" w:fill="F5F0E8"/>
            <w:tcMar>
              <w:top w:w="70" w:type="dxa"/>
              <w:left w:w="110" w:type="dxa"/>
              <w:bottom w:w="70" w:type="dxa"/>
              <w:right w:w="110" w:type="dxa"/>
            </w:tcMar>
          </w:tcPr>
          <w:p w14:paraId="6D1D23DD" w14:textId="77777777" w:rsidR="00F43E4E" w:rsidRDefault="00F43E4E" w:rsidP="004504FA">
            <w:pPr>
              <w:jc w:val="both"/>
            </w:pPr>
            <w:r>
              <w:rPr>
                <w:b/>
                <w:bCs/>
                <w:sz w:val="19"/>
                <w:szCs w:val="19"/>
              </w:rPr>
              <w:t>Regime del bene</w:t>
            </w:r>
          </w:p>
        </w:tc>
        <w:tc>
          <w:tcPr>
            <w:tcW w:w="348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110" w:type="dxa"/>
            </w:tcMar>
          </w:tcPr>
          <w:p w14:paraId="11F5BD97" w14:textId="77777777" w:rsidR="00F43E4E" w:rsidRDefault="00F43E4E" w:rsidP="004504FA">
            <w:pPr>
              <w:jc w:val="both"/>
            </w:pPr>
            <w:r>
              <w:rPr>
                <w:sz w:val="19"/>
                <w:szCs w:val="19"/>
              </w:rPr>
              <w:t>Comodato d’uso da ATER + Convenzione</w:t>
            </w:r>
          </w:p>
        </w:tc>
        <w:tc>
          <w:tcPr>
            <w:tcW w:w="348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110" w:type="dxa"/>
            </w:tcMar>
          </w:tcPr>
          <w:p w14:paraId="1B76F757" w14:textId="77777777" w:rsidR="00F43E4E" w:rsidRDefault="00F43E4E" w:rsidP="004504FA">
            <w:pPr>
              <w:jc w:val="both"/>
            </w:pPr>
            <w:r>
              <w:rPr>
                <w:sz w:val="19"/>
                <w:szCs w:val="19"/>
              </w:rPr>
              <w:t>Da individuare (possibili: concessione/comodato del bene in vista di un protocollo d’intesa; partenariato speciale per i beni culturali; etc.)</w:t>
            </w:r>
          </w:p>
        </w:tc>
      </w:tr>
      <w:tr w:rsidR="00F43E4E" w14:paraId="5160002E" w14:textId="77777777" w:rsidTr="004504FA">
        <w:tc>
          <w:tcPr>
            <w:tcW w:w="2400" w:type="dxa"/>
            <w:tcBorders>
              <w:top w:val="single" w:sz="1" w:space="0" w:color="CCCCCC"/>
              <w:left w:val="single" w:sz="1" w:space="0" w:color="CCCCCC"/>
              <w:bottom w:val="single" w:sz="1" w:space="0" w:color="CCCCCC"/>
              <w:right w:val="single" w:sz="1" w:space="0" w:color="CCCCCC"/>
            </w:tcBorders>
            <w:shd w:val="clear" w:color="auto" w:fill="F5F0E8"/>
            <w:tcMar>
              <w:top w:w="70" w:type="dxa"/>
              <w:left w:w="110" w:type="dxa"/>
              <w:bottom w:w="70" w:type="dxa"/>
              <w:right w:w="110" w:type="dxa"/>
            </w:tcMar>
          </w:tcPr>
          <w:p w14:paraId="74B31E5B" w14:textId="77777777" w:rsidR="00F43E4E" w:rsidRDefault="00F43E4E" w:rsidP="004504FA">
            <w:pPr>
              <w:jc w:val="both"/>
            </w:pPr>
            <w:r>
              <w:rPr>
                <w:b/>
                <w:bCs/>
                <w:sz w:val="19"/>
                <w:szCs w:val="19"/>
              </w:rPr>
              <w:t>Funzione-àncora</w:t>
            </w:r>
          </w:p>
        </w:tc>
        <w:tc>
          <w:tcPr>
            <w:tcW w:w="348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110" w:type="dxa"/>
            </w:tcMar>
          </w:tcPr>
          <w:p w14:paraId="16A0860B" w14:textId="77777777" w:rsidR="00F43E4E" w:rsidRDefault="00F43E4E" w:rsidP="004504FA">
            <w:pPr>
              <w:jc w:val="both"/>
            </w:pPr>
            <w:r>
              <w:rPr>
                <w:sz w:val="19"/>
                <w:szCs w:val="19"/>
              </w:rPr>
              <w:t>A&amp;O Hostel da realizzare ex novo</w:t>
            </w:r>
          </w:p>
        </w:tc>
        <w:tc>
          <w:tcPr>
            <w:tcW w:w="348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110" w:type="dxa"/>
            </w:tcMar>
          </w:tcPr>
          <w:p w14:paraId="27430693" w14:textId="77777777" w:rsidR="00F43E4E" w:rsidRDefault="00F43E4E" w:rsidP="004504FA">
            <w:pPr>
              <w:jc w:val="both"/>
            </w:pPr>
            <w:r>
              <w:rPr>
                <w:sz w:val="19"/>
                <w:szCs w:val="19"/>
              </w:rPr>
              <w:t>Ostello già in esercizio (innesto, non avvio)</w:t>
            </w:r>
          </w:p>
        </w:tc>
      </w:tr>
      <w:tr w:rsidR="00F43E4E" w14:paraId="58599925" w14:textId="77777777" w:rsidTr="004504FA">
        <w:tc>
          <w:tcPr>
            <w:tcW w:w="2400" w:type="dxa"/>
            <w:tcBorders>
              <w:top w:val="single" w:sz="1" w:space="0" w:color="CCCCCC"/>
              <w:left w:val="single" w:sz="1" w:space="0" w:color="CCCCCC"/>
              <w:bottom w:val="single" w:sz="1" w:space="0" w:color="CCCCCC"/>
              <w:right w:val="single" w:sz="1" w:space="0" w:color="CCCCCC"/>
            </w:tcBorders>
            <w:shd w:val="clear" w:color="auto" w:fill="F5F0E8"/>
            <w:tcMar>
              <w:top w:w="70" w:type="dxa"/>
              <w:left w:w="110" w:type="dxa"/>
              <w:bottom w:w="70" w:type="dxa"/>
              <w:right w:w="110" w:type="dxa"/>
            </w:tcMar>
          </w:tcPr>
          <w:p w14:paraId="6AF3C930" w14:textId="77777777" w:rsidR="00F43E4E" w:rsidRDefault="00F43E4E" w:rsidP="004504FA">
            <w:pPr>
              <w:jc w:val="both"/>
            </w:pPr>
            <w:r>
              <w:rPr>
                <w:b/>
                <w:bCs/>
                <w:sz w:val="19"/>
                <w:szCs w:val="19"/>
              </w:rPr>
              <w:t>Incubazione</w:t>
            </w:r>
          </w:p>
        </w:tc>
        <w:tc>
          <w:tcPr>
            <w:tcW w:w="348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110" w:type="dxa"/>
            </w:tcMar>
          </w:tcPr>
          <w:p w14:paraId="257A2688" w14:textId="77777777" w:rsidR="00F43E4E" w:rsidRDefault="00F43E4E" w:rsidP="004504FA">
            <w:pPr>
              <w:jc w:val="both"/>
            </w:pPr>
            <w:r>
              <w:rPr>
                <w:sz w:val="19"/>
                <w:szCs w:val="19"/>
              </w:rPr>
              <w:t>Cantinon, 1.232 mq</w:t>
            </w:r>
          </w:p>
        </w:tc>
        <w:tc>
          <w:tcPr>
            <w:tcW w:w="348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110" w:type="dxa"/>
            </w:tcMar>
          </w:tcPr>
          <w:p w14:paraId="5A24FF0E" w14:textId="77777777" w:rsidR="00F43E4E" w:rsidRDefault="00F43E4E" w:rsidP="004504FA">
            <w:pPr>
              <w:jc w:val="both"/>
            </w:pPr>
            <w:r>
              <w:rPr>
                <w:sz w:val="19"/>
                <w:szCs w:val="19"/>
              </w:rPr>
              <w:t>Micro-incubatore al piano primo (poche postazioni)</w:t>
            </w:r>
          </w:p>
        </w:tc>
      </w:tr>
      <w:tr w:rsidR="00F43E4E" w14:paraId="55EE4B70" w14:textId="77777777" w:rsidTr="004504FA">
        <w:tc>
          <w:tcPr>
            <w:tcW w:w="2400" w:type="dxa"/>
            <w:tcBorders>
              <w:top w:val="single" w:sz="1" w:space="0" w:color="CCCCCC"/>
              <w:left w:val="single" w:sz="1" w:space="0" w:color="CCCCCC"/>
              <w:bottom w:val="single" w:sz="1" w:space="0" w:color="CCCCCC"/>
              <w:right w:val="single" w:sz="1" w:space="0" w:color="CCCCCC"/>
            </w:tcBorders>
            <w:shd w:val="clear" w:color="auto" w:fill="F5F0E8"/>
            <w:tcMar>
              <w:top w:w="70" w:type="dxa"/>
              <w:left w:w="110" w:type="dxa"/>
              <w:bottom w:w="70" w:type="dxa"/>
              <w:right w:w="110" w:type="dxa"/>
            </w:tcMar>
          </w:tcPr>
          <w:p w14:paraId="00551136" w14:textId="77777777" w:rsidR="00F43E4E" w:rsidRDefault="00F43E4E" w:rsidP="004504FA">
            <w:pPr>
              <w:jc w:val="both"/>
            </w:pPr>
            <w:r>
              <w:rPr>
                <w:b/>
                <w:bCs/>
                <w:sz w:val="19"/>
                <w:szCs w:val="19"/>
              </w:rPr>
              <w:t>Cultura/eventi</w:t>
            </w:r>
          </w:p>
        </w:tc>
        <w:tc>
          <w:tcPr>
            <w:tcW w:w="348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110" w:type="dxa"/>
            </w:tcMar>
          </w:tcPr>
          <w:p w14:paraId="5A820641" w14:textId="77777777" w:rsidR="00F43E4E" w:rsidRDefault="00F43E4E" w:rsidP="004504FA">
            <w:pPr>
              <w:jc w:val="both"/>
            </w:pPr>
            <w:r>
              <w:rPr>
                <w:sz w:val="19"/>
                <w:szCs w:val="19"/>
              </w:rPr>
              <w:t>Spazi dedicati + format diffuso</w:t>
            </w:r>
          </w:p>
        </w:tc>
        <w:tc>
          <w:tcPr>
            <w:tcW w:w="348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110" w:type="dxa"/>
            </w:tcMar>
          </w:tcPr>
          <w:p w14:paraId="4936C9F3" w14:textId="77777777" w:rsidR="00F43E4E" w:rsidRDefault="00F43E4E" w:rsidP="004504FA">
            <w:pPr>
              <w:jc w:val="both"/>
            </w:pPr>
            <w:r>
              <w:rPr>
                <w:sz w:val="19"/>
                <w:szCs w:val="19"/>
              </w:rPr>
              <w:t>Piano interrato ≈ 70 mq, allestimenti reversibili</w:t>
            </w:r>
          </w:p>
        </w:tc>
      </w:tr>
      <w:tr w:rsidR="00F43E4E" w14:paraId="778326A0" w14:textId="77777777" w:rsidTr="004504FA">
        <w:tc>
          <w:tcPr>
            <w:tcW w:w="2400" w:type="dxa"/>
            <w:tcBorders>
              <w:top w:val="single" w:sz="1" w:space="0" w:color="CCCCCC"/>
              <w:left w:val="single" w:sz="1" w:space="0" w:color="CCCCCC"/>
              <w:bottom w:val="single" w:sz="1" w:space="0" w:color="CCCCCC"/>
              <w:right w:val="single" w:sz="1" w:space="0" w:color="CCCCCC"/>
            </w:tcBorders>
            <w:shd w:val="clear" w:color="auto" w:fill="F5F0E8"/>
            <w:tcMar>
              <w:top w:w="70" w:type="dxa"/>
              <w:left w:w="110" w:type="dxa"/>
              <w:bottom w:w="70" w:type="dxa"/>
              <w:right w:w="110" w:type="dxa"/>
            </w:tcMar>
          </w:tcPr>
          <w:p w14:paraId="31D0F190" w14:textId="77777777" w:rsidR="00F43E4E" w:rsidRDefault="00F43E4E" w:rsidP="004504FA">
            <w:pPr>
              <w:jc w:val="both"/>
            </w:pPr>
            <w:r>
              <w:rPr>
                <w:b/>
                <w:bCs/>
                <w:sz w:val="19"/>
                <w:szCs w:val="19"/>
              </w:rPr>
              <w:t>Governance</w:t>
            </w:r>
          </w:p>
        </w:tc>
        <w:tc>
          <w:tcPr>
            <w:tcW w:w="348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110" w:type="dxa"/>
            </w:tcMar>
          </w:tcPr>
          <w:p w14:paraId="37CFEE0A" w14:textId="77777777" w:rsidR="00F43E4E" w:rsidRDefault="00F43E4E" w:rsidP="004504FA">
            <w:pPr>
              <w:jc w:val="both"/>
            </w:pPr>
            <w:r>
              <w:rPr>
                <w:sz w:val="19"/>
                <w:szCs w:val="19"/>
              </w:rPr>
              <w:t xml:space="preserve">APS (comodataria) + </w:t>
            </w:r>
            <w:proofErr w:type="spellStart"/>
            <w:r>
              <w:rPr>
                <w:sz w:val="19"/>
                <w:szCs w:val="19"/>
              </w:rPr>
              <w:t>Rockdrop</w:t>
            </w:r>
            <w:proofErr w:type="spellEnd"/>
            <w:r>
              <w:rPr>
                <w:sz w:val="19"/>
                <w:szCs w:val="19"/>
              </w:rPr>
              <w:t xml:space="preserve"> </w:t>
            </w:r>
            <w:proofErr w:type="spellStart"/>
            <w:r>
              <w:rPr>
                <w:sz w:val="19"/>
                <w:szCs w:val="19"/>
              </w:rPr>
              <w:t>S.r.l.s</w:t>
            </w:r>
            <w:proofErr w:type="spellEnd"/>
            <w:r>
              <w:rPr>
                <w:sz w:val="19"/>
                <w:szCs w:val="19"/>
              </w:rPr>
              <w:t>. + A&amp;O</w:t>
            </w:r>
          </w:p>
        </w:tc>
        <w:tc>
          <w:tcPr>
            <w:tcW w:w="348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110" w:type="dxa"/>
            </w:tcMar>
          </w:tcPr>
          <w:p w14:paraId="3EEBCF79" w14:textId="77777777" w:rsidR="00F43E4E" w:rsidRDefault="00F43E4E" w:rsidP="004504FA">
            <w:pPr>
              <w:jc w:val="both"/>
            </w:pPr>
            <w:r w:rsidRPr="00803D62">
              <w:rPr>
                <w:sz w:val="19"/>
                <w:szCs w:val="19"/>
              </w:rPr>
              <w:t>Ente gestore unico; APS co-gestore eventi;</w:t>
            </w:r>
            <w:r>
              <w:rPr>
                <w:sz w:val="19"/>
                <w:szCs w:val="19"/>
              </w:rPr>
              <w:t xml:space="preserve"> supporto incubazione via associazione di categoria / Santa Chiara Lab </w:t>
            </w:r>
            <w:proofErr w:type="spellStart"/>
            <w:r>
              <w:rPr>
                <w:sz w:val="19"/>
                <w:szCs w:val="19"/>
              </w:rPr>
              <w:t>UniSiena</w:t>
            </w:r>
            <w:proofErr w:type="spellEnd"/>
          </w:p>
        </w:tc>
      </w:tr>
      <w:tr w:rsidR="00F43E4E" w14:paraId="758F2DDC" w14:textId="77777777" w:rsidTr="004504FA">
        <w:tc>
          <w:tcPr>
            <w:tcW w:w="2400" w:type="dxa"/>
            <w:tcBorders>
              <w:top w:val="single" w:sz="1" w:space="0" w:color="CCCCCC"/>
              <w:left w:val="single" w:sz="1" w:space="0" w:color="CCCCCC"/>
              <w:bottom w:val="single" w:sz="1" w:space="0" w:color="CCCCCC"/>
              <w:right w:val="single" w:sz="1" w:space="0" w:color="CCCCCC"/>
            </w:tcBorders>
            <w:shd w:val="clear" w:color="auto" w:fill="F5F0E8"/>
            <w:tcMar>
              <w:top w:w="70" w:type="dxa"/>
              <w:left w:w="110" w:type="dxa"/>
              <w:bottom w:w="70" w:type="dxa"/>
              <w:right w:w="110" w:type="dxa"/>
            </w:tcMar>
          </w:tcPr>
          <w:p w14:paraId="7D6DC7E0" w14:textId="77777777" w:rsidR="00F43E4E" w:rsidRDefault="00F43E4E" w:rsidP="004504FA">
            <w:pPr>
              <w:jc w:val="both"/>
            </w:pPr>
            <w:r>
              <w:rPr>
                <w:b/>
                <w:bCs/>
                <w:sz w:val="19"/>
                <w:szCs w:val="19"/>
              </w:rPr>
              <w:t>Tutela</w:t>
            </w:r>
          </w:p>
        </w:tc>
        <w:tc>
          <w:tcPr>
            <w:tcW w:w="348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110" w:type="dxa"/>
            </w:tcMar>
          </w:tcPr>
          <w:p w14:paraId="7799D109" w14:textId="77777777" w:rsidR="00F43E4E" w:rsidRDefault="00F43E4E" w:rsidP="004504FA">
            <w:pPr>
              <w:jc w:val="both"/>
            </w:pPr>
            <w:r>
              <w:rPr>
                <w:sz w:val="19"/>
                <w:szCs w:val="19"/>
              </w:rPr>
              <w:t>D.lgs. n. 42/2004 — Soprintendenza</w:t>
            </w:r>
          </w:p>
        </w:tc>
        <w:tc>
          <w:tcPr>
            <w:tcW w:w="348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110" w:type="dxa"/>
            </w:tcMar>
          </w:tcPr>
          <w:p w14:paraId="62F53F6D" w14:textId="77777777" w:rsidR="00F43E4E" w:rsidRDefault="00F43E4E" w:rsidP="004504FA">
            <w:pPr>
              <w:jc w:val="both"/>
            </w:pPr>
            <w:r>
              <w:rPr>
                <w:sz w:val="19"/>
                <w:szCs w:val="19"/>
              </w:rPr>
              <w:t>D.lgs. n. 42/2004 — verifica vincolo + autorizzazione</w:t>
            </w:r>
          </w:p>
        </w:tc>
      </w:tr>
      <w:tr w:rsidR="00F43E4E" w14:paraId="2A815530" w14:textId="77777777" w:rsidTr="004504FA">
        <w:tc>
          <w:tcPr>
            <w:tcW w:w="2400" w:type="dxa"/>
            <w:tcBorders>
              <w:top w:val="single" w:sz="1" w:space="0" w:color="CCCCCC"/>
              <w:left w:val="single" w:sz="1" w:space="0" w:color="CCCCCC"/>
              <w:bottom w:val="single" w:sz="1" w:space="0" w:color="CCCCCC"/>
              <w:right w:val="single" w:sz="1" w:space="0" w:color="CCCCCC"/>
            </w:tcBorders>
            <w:shd w:val="clear" w:color="auto" w:fill="F5F0E8"/>
            <w:tcMar>
              <w:top w:w="70" w:type="dxa"/>
              <w:left w:w="110" w:type="dxa"/>
              <w:bottom w:w="70" w:type="dxa"/>
              <w:right w:w="110" w:type="dxa"/>
            </w:tcMar>
          </w:tcPr>
          <w:p w14:paraId="10DF3507" w14:textId="77777777" w:rsidR="00F43E4E" w:rsidRDefault="00F43E4E" w:rsidP="004504FA">
            <w:pPr>
              <w:jc w:val="both"/>
            </w:pPr>
            <w:r>
              <w:rPr>
                <w:b/>
                <w:bCs/>
                <w:sz w:val="19"/>
                <w:szCs w:val="19"/>
              </w:rPr>
              <w:t>Modello incubazione</w:t>
            </w:r>
          </w:p>
        </w:tc>
        <w:tc>
          <w:tcPr>
            <w:tcW w:w="348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110" w:type="dxa"/>
            </w:tcMar>
          </w:tcPr>
          <w:p w14:paraId="5E021ACB" w14:textId="77777777" w:rsidR="00F43E4E" w:rsidRDefault="00F43E4E" w:rsidP="004504FA">
            <w:pPr>
              <w:jc w:val="both"/>
            </w:pPr>
            <w:r>
              <w:rPr>
                <w:sz w:val="19"/>
                <w:szCs w:val="19"/>
              </w:rPr>
              <w:t>Due voci (rimborso + 5% lordo)</w:t>
            </w:r>
          </w:p>
        </w:tc>
        <w:tc>
          <w:tcPr>
            <w:tcW w:w="3480" w:type="dxa"/>
            <w:tcBorders>
              <w:top w:val="single" w:sz="1" w:space="0" w:color="CCCCCC"/>
              <w:left w:val="single" w:sz="1" w:space="0" w:color="CCCCCC"/>
              <w:bottom w:val="single" w:sz="1" w:space="0" w:color="CCCCCC"/>
              <w:right w:val="single" w:sz="1" w:space="0" w:color="CCCCCC"/>
            </w:tcBorders>
            <w:shd w:val="clear" w:color="auto" w:fill="FFFFFF"/>
            <w:tcMar>
              <w:top w:w="70" w:type="dxa"/>
              <w:left w:w="110" w:type="dxa"/>
              <w:bottom w:w="70" w:type="dxa"/>
              <w:right w:w="110" w:type="dxa"/>
            </w:tcMar>
          </w:tcPr>
          <w:p w14:paraId="11CAC201" w14:textId="77777777" w:rsidR="00F43E4E" w:rsidRDefault="00F43E4E" w:rsidP="004504FA">
            <w:pPr>
              <w:jc w:val="both"/>
            </w:pPr>
            <w:r>
              <w:rPr>
                <w:sz w:val="19"/>
                <w:szCs w:val="19"/>
              </w:rPr>
              <w:t>Due voci, identico schema</w:t>
            </w:r>
          </w:p>
        </w:tc>
      </w:tr>
    </w:tbl>
    <w:p w14:paraId="3EADEE73" w14:textId="77777777" w:rsidR="00F43E4E" w:rsidRDefault="00F43E4E" w:rsidP="00F43E4E">
      <w:r>
        <w:br w:type="page"/>
      </w:r>
    </w:p>
    <w:p w14:paraId="31A18DB7" w14:textId="77777777" w:rsidR="00F43E4E" w:rsidRDefault="00F43E4E" w:rsidP="00F43E4E">
      <w:pPr>
        <w:pStyle w:val="Titolo1"/>
      </w:pPr>
      <w:r>
        <w:lastRenderedPageBreak/>
        <w:t xml:space="preserve">7. Il percorso </w:t>
      </w:r>
      <w:r>
        <w:rPr>
          <w:i/>
          <w:iCs/>
        </w:rPr>
        <w:t>step by step</w:t>
      </w:r>
    </w:p>
    <w:p w14:paraId="1DC67A74" w14:textId="77777777" w:rsidR="00F43E4E" w:rsidRPr="00803D62" w:rsidRDefault="00F43E4E" w:rsidP="00F43E4E">
      <w:pPr>
        <w:spacing w:after="140" w:line="276" w:lineRule="auto"/>
        <w:jc w:val="both"/>
      </w:pPr>
      <w:r>
        <w:t xml:space="preserve">Sequenza operativa per la costruzione del progetto, ordinata per logica di propedeuticità: le </w:t>
      </w:r>
      <w:r w:rsidRPr="00003DD1">
        <w:rPr>
          <w:u w:val="single"/>
        </w:rPr>
        <w:t>fasi 1-3</w:t>
      </w:r>
      <w:r>
        <w:t xml:space="preserve"> sono </w:t>
      </w:r>
      <w:r w:rsidRPr="00003DD1">
        <w:rPr>
          <w:u w:val="single"/>
        </w:rPr>
        <w:t>di accertamento</w:t>
      </w:r>
      <w:r>
        <w:t xml:space="preserve"> (nessun impegno di </w:t>
      </w:r>
      <w:r w:rsidRPr="00803D62">
        <w:t xml:space="preserve">spesa); le </w:t>
      </w:r>
      <w:r w:rsidRPr="00003DD1">
        <w:rPr>
          <w:u w:val="single"/>
        </w:rPr>
        <w:t>fasi 4-6 di progettazione</w:t>
      </w:r>
      <w:r w:rsidRPr="00803D62">
        <w:t xml:space="preserve">; le </w:t>
      </w:r>
      <w:r w:rsidRPr="00003DD1">
        <w:rPr>
          <w:u w:val="single"/>
        </w:rPr>
        <w:t>fasi 7-10 di attuazione</w:t>
      </w:r>
      <w:r w:rsidRPr="00803D62">
        <w:t>.</w:t>
      </w:r>
    </w:p>
    <w:p w14:paraId="625466DE" w14:textId="77777777" w:rsidR="00F43E4E" w:rsidRPr="00803D62" w:rsidRDefault="00F43E4E" w:rsidP="00F43E4E">
      <w:pPr>
        <w:pStyle w:val="Paragrafoelenco"/>
        <w:numPr>
          <w:ilvl w:val="0"/>
          <w:numId w:val="2"/>
        </w:numPr>
        <w:spacing w:after="90" w:line="270" w:lineRule="auto"/>
        <w:contextualSpacing w:val="0"/>
        <w:jc w:val="both"/>
      </w:pPr>
      <w:r w:rsidRPr="00803D62">
        <w:rPr>
          <w:b/>
          <w:bCs/>
        </w:rPr>
        <w:t xml:space="preserve">Verifica dello stato giuridico-amministrativo. </w:t>
      </w:r>
      <w:r w:rsidRPr="00803D62">
        <w:t xml:space="preserve">Stato e scadenza della concessione attuale; titolarità e regime del bene; esito della verifica dell’interesse culturale </w:t>
      </w:r>
      <w:r w:rsidRPr="00003DD1">
        <w:rPr>
          <w:i/>
          <w:iCs/>
        </w:rPr>
        <w:t>ex</w:t>
      </w:r>
      <w:r w:rsidRPr="00803D62">
        <w:t xml:space="preserve"> d.lgs. n. 42/2004; regolamenti comunali sull’uso dei beni pubblici.</w:t>
      </w:r>
    </w:p>
    <w:p w14:paraId="5AFB2B5D" w14:textId="77777777" w:rsidR="00F43E4E" w:rsidRPr="00803D62" w:rsidRDefault="00F43E4E" w:rsidP="00F43E4E">
      <w:pPr>
        <w:pStyle w:val="Paragrafoelenco"/>
        <w:numPr>
          <w:ilvl w:val="0"/>
          <w:numId w:val="2"/>
        </w:numPr>
        <w:spacing w:after="90" w:line="270" w:lineRule="auto"/>
        <w:contextualSpacing w:val="0"/>
        <w:jc w:val="both"/>
      </w:pPr>
      <w:r w:rsidRPr="00803D62">
        <w:rPr>
          <w:b/>
          <w:bCs/>
        </w:rPr>
        <w:t xml:space="preserve">Verifica tecnico-edilizia. </w:t>
      </w:r>
      <w:r w:rsidRPr="00803D62">
        <w:t>Agibilità distinta per piano; destinazione d’uso certificata di interrato e piano primo; stato e conformità degli impianti (elettrico, termico, antincendio); accessibilità del piano primo; vincoli di prevenzione incendi (D</w:t>
      </w:r>
      <w:r w:rsidRPr="00003DD1">
        <w:t>.</w:t>
      </w:r>
      <w:r w:rsidRPr="00803D62">
        <w:t>P</w:t>
      </w:r>
      <w:r w:rsidRPr="00003DD1">
        <w:t>.</w:t>
      </w:r>
      <w:r w:rsidRPr="00803D62">
        <w:t>R</w:t>
      </w:r>
      <w:r w:rsidRPr="00003DD1">
        <w:t>. n.</w:t>
      </w:r>
      <w:r w:rsidRPr="00803D62">
        <w:t xml:space="preserve"> 151/2011) per l’uso a evento.</w:t>
      </w:r>
    </w:p>
    <w:p w14:paraId="70BB6B05" w14:textId="77777777" w:rsidR="00F43E4E" w:rsidRDefault="00F43E4E" w:rsidP="00F43E4E">
      <w:pPr>
        <w:pStyle w:val="Paragrafoelenco"/>
        <w:numPr>
          <w:ilvl w:val="0"/>
          <w:numId w:val="2"/>
        </w:numPr>
        <w:spacing w:after="90" w:line="270" w:lineRule="auto"/>
        <w:contextualSpacing w:val="0"/>
        <w:jc w:val="both"/>
      </w:pPr>
      <w:r>
        <w:rPr>
          <w:b/>
          <w:bCs/>
        </w:rPr>
        <w:t xml:space="preserve">Definizione del perimetro funzionale. </w:t>
      </w:r>
      <w:r>
        <w:t>Quali spazi a quale funzione, con metrature certe; capienza massima dello spazio eventi; numero di postazioni dell’incubatore.</w:t>
      </w:r>
    </w:p>
    <w:p w14:paraId="61058FA8" w14:textId="77777777" w:rsidR="00F43E4E" w:rsidRDefault="00F43E4E" w:rsidP="00F43E4E">
      <w:pPr>
        <w:pStyle w:val="Paragrafoelenco"/>
        <w:numPr>
          <w:ilvl w:val="0"/>
          <w:numId w:val="2"/>
        </w:numPr>
        <w:spacing w:after="90" w:line="270" w:lineRule="auto"/>
        <w:contextualSpacing w:val="0"/>
        <w:jc w:val="both"/>
      </w:pPr>
      <w:r>
        <w:rPr>
          <w:b/>
          <w:bCs/>
        </w:rPr>
        <w:t xml:space="preserve">Inquadramento normativo dell’operazione. </w:t>
      </w:r>
      <w:r>
        <w:t>Individuazione dello strumento giuridico più idoneo; verifica L.R.T. 86/2016 e Reg. 47/R/2018; eventuale SCIA per pubblico spettacolo/eventi.</w:t>
      </w:r>
    </w:p>
    <w:p w14:paraId="2D650F27" w14:textId="77777777" w:rsidR="00F43E4E" w:rsidRDefault="00F43E4E" w:rsidP="00F43E4E">
      <w:pPr>
        <w:pStyle w:val="Paragrafoelenco"/>
        <w:numPr>
          <w:ilvl w:val="0"/>
          <w:numId w:val="2"/>
        </w:numPr>
        <w:spacing w:after="90" w:line="270" w:lineRule="auto"/>
        <w:contextualSpacing w:val="0"/>
        <w:jc w:val="both"/>
      </w:pPr>
      <w:r>
        <w:rPr>
          <w:b/>
          <w:bCs/>
        </w:rPr>
        <w:t xml:space="preserve">Costruzione del modello economico-gestionale. </w:t>
      </w:r>
      <w:r>
        <w:t>Conto di gestione a tre componenti; tariffario differenziato dello spazio culturale; contratto di incubazione a due voci; soglia di pareggio e analisi di sensitività sui ricavi incrementali.</w:t>
      </w:r>
    </w:p>
    <w:p w14:paraId="19030CF5" w14:textId="77777777" w:rsidR="00F43E4E" w:rsidRDefault="00F43E4E" w:rsidP="00F43E4E">
      <w:pPr>
        <w:pStyle w:val="Paragrafoelenco"/>
        <w:numPr>
          <w:ilvl w:val="0"/>
          <w:numId w:val="2"/>
        </w:numPr>
        <w:spacing w:after="90" w:line="270" w:lineRule="auto"/>
        <w:contextualSpacing w:val="0"/>
        <w:jc w:val="both"/>
      </w:pPr>
      <w:r>
        <w:rPr>
          <w:b/>
          <w:bCs/>
        </w:rPr>
        <w:t xml:space="preserve">Definizione della governance. </w:t>
      </w:r>
      <w:r>
        <w:t xml:space="preserve">Individuazione di chi gestisce cosa: ente gestore, eventuale ruolo di un’APS in co-gestione e di una </w:t>
      </w:r>
      <w:proofErr w:type="spellStart"/>
      <w:r>
        <w:t>S.r.l.s</w:t>
      </w:r>
      <w:proofErr w:type="spellEnd"/>
      <w:r>
        <w:t>. per le attività commerciali; disciplina eventuale subconcessione.</w:t>
      </w:r>
    </w:p>
    <w:p w14:paraId="2514D8EA" w14:textId="77777777" w:rsidR="00F43E4E" w:rsidRDefault="00F43E4E" w:rsidP="00F43E4E">
      <w:pPr>
        <w:pStyle w:val="Paragrafoelenco"/>
        <w:numPr>
          <w:ilvl w:val="0"/>
          <w:numId w:val="2"/>
        </w:numPr>
        <w:spacing w:after="90" w:line="270" w:lineRule="auto"/>
        <w:contextualSpacing w:val="0"/>
        <w:jc w:val="both"/>
      </w:pPr>
      <w:r w:rsidRPr="00887754">
        <w:rPr>
          <w:b/>
          <w:bCs/>
        </w:rPr>
        <w:t>Mappatura degli attori e delle risorse territoriali.</w:t>
      </w:r>
      <w:r>
        <w:rPr>
          <w:b/>
          <w:bCs/>
        </w:rPr>
        <w:t xml:space="preserve"> </w:t>
      </w:r>
      <w:r>
        <w:t>Associazioni, reti della Via Francigena, microimprese candidabili all’incubazione, enti di promozione turistica, università e fondazioni, canali di finanziamento (cfr. § 8, blocco D).</w:t>
      </w:r>
    </w:p>
    <w:p w14:paraId="2BD24E8B" w14:textId="77777777" w:rsidR="00F43E4E" w:rsidRDefault="00F43E4E" w:rsidP="00F43E4E">
      <w:pPr>
        <w:pStyle w:val="Paragrafoelenco"/>
        <w:numPr>
          <w:ilvl w:val="0"/>
          <w:numId w:val="2"/>
        </w:numPr>
        <w:spacing w:after="90" w:line="270" w:lineRule="auto"/>
        <w:contextualSpacing w:val="0"/>
        <w:jc w:val="both"/>
      </w:pPr>
      <w:r>
        <w:rPr>
          <w:b/>
          <w:bCs/>
        </w:rPr>
        <w:t xml:space="preserve">Progetto definitivo e atti autorizzativi. </w:t>
      </w:r>
      <w:r>
        <w:t>Progetto del piano primo (eventuale “</w:t>
      </w:r>
      <w:r w:rsidRPr="00003DD1">
        <w:rPr>
          <w:i/>
          <w:iCs/>
        </w:rPr>
        <w:t>assist</w:t>
      </w:r>
      <w:r w:rsidRPr="00003DD1">
        <w:t>”</w:t>
      </w:r>
      <w:r w:rsidRPr="00E51001">
        <w:t xml:space="preserve"> </w:t>
      </w:r>
      <w:r>
        <w:t>art. 2); autorizzazione Soprintendenza; SCIA edilizia e SCIA attività; agibilità aggiornata.</w:t>
      </w:r>
    </w:p>
    <w:p w14:paraId="3E1BF38D" w14:textId="77777777" w:rsidR="00F43E4E" w:rsidRDefault="00F43E4E" w:rsidP="00F43E4E">
      <w:pPr>
        <w:pStyle w:val="Paragrafoelenco"/>
        <w:numPr>
          <w:ilvl w:val="0"/>
          <w:numId w:val="2"/>
        </w:numPr>
        <w:spacing w:after="90" w:line="270" w:lineRule="auto"/>
        <w:contextualSpacing w:val="0"/>
        <w:jc w:val="both"/>
      </w:pPr>
      <w:r>
        <w:rPr>
          <w:b/>
          <w:bCs/>
        </w:rPr>
        <w:t xml:space="preserve">[VARIABILE] Affidamento o integrazione della concessione. </w:t>
      </w:r>
      <w:r>
        <w:t>Espletamento della procedura prescelta e stipula; ingresso formale dell’eventuale APS co-gestore.</w:t>
      </w:r>
    </w:p>
    <w:p w14:paraId="515B45E2" w14:textId="77777777" w:rsidR="00F43E4E" w:rsidRPr="00803D62" w:rsidRDefault="00F43E4E" w:rsidP="00F43E4E">
      <w:pPr>
        <w:pStyle w:val="Paragrafoelenco"/>
        <w:numPr>
          <w:ilvl w:val="0"/>
          <w:numId w:val="2"/>
        </w:numPr>
        <w:spacing w:after="90" w:line="270" w:lineRule="auto"/>
        <w:contextualSpacing w:val="0"/>
        <w:jc w:val="both"/>
      </w:pPr>
      <w:r>
        <w:rPr>
          <w:b/>
          <w:bCs/>
        </w:rPr>
        <w:t xml:space="preserve">Avvio e monitoraggio. </w:t>
      </w:r>
      <w:r>
        <w:t xml:space="preserve">Set di indicatori (occupazione ostello, eventi/anno, base associativa, postazioni occupate, </w:t>
      </w:r>
      <w:r w:rsidRPr="00803D62">
        <w:t>fatturato incubati) e revisione periodica del modello.</w:t>
      </w:r>
    </w:p>
    <w:p w14:paraId="6D34CE2C" w14:textId="77777777" w:rsidR="006C6B15" w:rsidRDefault="006C6B15"/>
    <w:sectPr w:rsidR="006C6B1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36C30" w14:textId="77777777" w:rsidR="009C29C7" w:rsidRDefault="009C29C7" w:rsidP="00F43E4E">
      <w:r>
        <w:separator/>
      </w:r>
    </w:p>
  </w:endnote>
  <w:endnote w:type="continuationSeparator" w:id="0">
    <w:p w14:paraId="5D08B58B" w14:textId="77777777" w:rsidR="009C29C7" w:rsidRDefault="009C29C7" w:rsidP="00F4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73043" w14:textId="24AAAAE3" w:rsidR="00F43E4E" w:rsidRPr="00F43E4E" w:rsidRDefault="00F43E4E" w:rsidP="00F43E4E">
    <w:pPr>
      <w:pStyle w:val="Pidipagina"/>
      <w:tabs>
        <w:tab w:val="clear" w:pos="4819"/>
        <w:tab w:val="clear" w:pos="9638"/>
        <w:tab w:val="center" w:pos="4536"/>
        <w:tab w:val="right" w:pos="10080"/>
      </w:tabs>
    </w:pPr>
    <w:r>
      <w:rPr>
        <w:rFonts w:ascii="Arial Narrow" w:hAnsi="Arial Narrow"/>
        <w:noProof/>
      </w:rPr>
      <w:drawing>
        <wp:inline distT="0" distB="0" distL="0" distR="0" wp14:anchorId="46693684" wp14:editId="0E6424D6">
          <wp:extent cx="1400175" cy="590550"/>
          <wp:effectExtent l="0" t="0" r="0" b="0"/>
          <wp:docPr id="29848934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175" cy="590550"/>
                  </a:xfrm>
                  <a:prstGeom prst="rect">
                    <a:avLst/>
                  </a:prstGeom>
                  <a:noFill/>
                  <a:ln>
                    <a:noFill/>
                  </a:ln>
                </pic:spPr>
              </pic:pic>
            </a:graphicData>
          </a:graphic>
        </wp:inline>
      </w:drawing>
    </w:r>
    <w:r>
      <w:tab/>
    </w:r>
    <w:r>
      <w:tab/>
    </w:r>
    <w:r w:rsidRPr="004F402F">
      <w:rPr>
        <w:noProof/>
      </w:rPr>
      <w:drawing>
        <wp:inline distT="0" distB="0" distL="0" distR="0" wp14:anchorId="4D5D2F02" wp14:editId="1C7868CD">
          <wp:extent cx="1657350" cy="514350"/>
          <wp:effectExtent l="0" t="0" r="0" b="0"/>
          <wp:docPr id="196807928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57350" cy="5143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BC606" w14:textId="77777777" w:rsidR="009C29C7" w:rsidRDefault="009C29C7" w:rsidP="00F43E4E">
      <w:r>
        <w:separator/>
      </w:r>
    </w:p>
  </w:footnote>
  <w:footnote w:type="continuationSeparator" w:id="0">
    <w:p w14:paraId="6E030198" w14:textId="77777777" w:rsidR="009C29C7" w:rsidRDefault="009C29C7" w:rsidP="00F43E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0" w:type="dxa"/>
      <w:tblInd w:w="70" w:type="dxa"/>
      <w:tblLayout w:type="fixed"/>
      <w:tblCellMar>
        <w:left w:w="70" w:type="dxa"/>
        <w:right w:w="70" w:type="dxa"/>
      </w:tblCellMar>
      <w:tblLook w:val="0000" w:firstRow="0" w:lastRow="0" w:firstColumn="0" w:lastColumn="0" w:noHBand="0" w:noVBand="0"/>
    </w:tblPr>
    <w:tblGrid>
      <w:gridCol w:w="1080"/>
      <w:gridCol w:w="360"/>
      <w:gridCol w:w="8640"/>
    </w:tblGrid>
    <w:tr w:rsidR="00F43E4E" w:rsidRPr="004E2893" w14:paraId="0EF032B5" w14:textId="77777777" w:rsidTr="004504FA">
      <w:trPr>
        <w:cantSplit/>
        <w:trHeight w:val="1085"/>
      </w:trPr>
      <w:tc>
        <w:tcPr>
          <w:tcW w:w="1080" w:type="dxa"/>
          <w:vAlign w:val="center"/>
        </w:tcPr>
        <w:p w14:paraId="07E1D872" w14:textId="323401FD" w:rsidR="00F43E4E" w:rsidRDefault="00F43E4E" w:rsidP="00F43E4E">
          <w:pPr>
            <w:rPr>
              <w:rFonts w:ascii="Arial Narrow" w:hAnsi="Arial Narrow"/>
            </w:rPr>
          </w:pPr>
          <w:r w:rsidRPr="008D0266">
            <w:rPr>
              <w:rFonts w:ascii="Arial Narrow" w:hAnsi="Arial Narrow"/>
              <w:noProof/>
            </w:rPr>
            <w:drawing>
              <wp:inline distT="0" distB="0" distL="0" distR="0" wp14:anchorId="71ACA925" wp14:editId="0434FFC1">
                <wp:extent cx="438150" cy="661358"/>
                <wp:effectExtent l="0" t="0" r="0" b="5715"/>
                <wp:docPr id="227439944" name="Immagine 1" descr="logo%20co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20comu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9771" cy="663805"/>
                        </a:xfrm>
                        <a:prstGeom prst="rect">
                          <a:avLst/>
                        </a:prstGeom>
                        <a:noFill/>
                        <a:ln>
                          <a:noFill/>
                        </a:ln>
                      </pic:spPr>
                    </pic:pic>
                  </a:graphicData>
                </a:graphic>
              </wp:inline>
            </w:drawing>
          </w:r>
        </w:p>
      </w:tc>
      <w:tc>
        <w:tcPr>
          <w:tcW w:w="360" w:type="dxa"/>
        </w:tcPr>
        <w:p w14:paraId="7E394562" w14:textId="77777777" w:rsidR="00F43E4E" w:rsidRDefault="00F43E4E" w:rsidP="00F43E4E">
          <w:pPr>
            <w:pStyle w:val="Titolo6"/>
            <w:rPr>
              <w:rFonts w:ascii="Arial Narrow" w:hAnsi="Arial Narrow"/>
            </w:rPr>
          </w:pPr>
        </w:p>
      </w:tc>
      <w:tc>
        <w:tcPr>
          <w:tcW w:w="8640" w:type="dxa"/>
        </w:tcPr>
        <w:p w14:paraId="7627B4BD" w14:textId="77777777" w:rsidR="00F43E4E" w:rsidRPr="004E2893" w:rsidRDefault="00F43E4E" w:rsidP="00F43E4E">
          <w:pPr>
            <w:widowControl w:val="0"/>
            <w:autoSpaceDE w:val="0"/>
            <w:autoSpaceDN w:val="0"/>
            <w:spacing w:before="18"/>
            <w:ind w:left="20"/>
            <w:rPr>
              <w:rFonts w:ascii="Arial Narrow" w:hAnsi="Arial Narrow"/>
              <w:b/>
              <w:sz w:val="36"/>
              <w:lang w:eastAsia="en-US"/>
            </w:rPr>
          </w:pPr>
          <w:r w:rsidRPr="004E2893">
            <w:rPr>
              <w:rFonts w:ascii="Arial Narrow" w:hAnsi="Arial Narrow"/>
              <w:b/>
              <w:sz w:val="36"/>
              <w:lang w:eastAsia="en-US"/>
            </w:rPr>
            <w:t>Città</w:t>
          </w:r>
          <w:r w:rsidRPr="004E2893">
            <w:rPr>
              <w:rFonts w:ascii="Arial Narrow" w:hAnsi="Arial Narrow"/>
              <w:b/>
              <w:spacing w:val="-3"/>
              <w:sz w:val="36"/>
              <w:lang w:eastAsia="en-US"/>
            </w:rPr>
            <w:t xml:space="preserve"> </w:t>
          </w:r>
          <w:r w:rsidRPr="004E2893">
            <w:rPr>
              <w:rFonts w:ascii="Arial Narrow" w:hAnsi="Arial Narrow"/>
              <w:b/>
              <w:sz w:val="36"/>
              <w:lang w:eastAsia="en-US"/>
            </w:rPr>
            <w:t>di</w:t>
          </w:r>
          <w:r w:rsidRPr="004E2893">
            <w:rPr>
              <w:rFonts w:ascii="Arial Narrow" w:hAnsi="Arial Narrow"/>
              <w:b/>
              <w:spacing w:val="-2"/>
              <w:sz w:val="36"/>
              <w:lang w:eastAsia="en-US"/>
            </w:rPr>
            <w:t xml:space="preserve"> </w:t>
          </w:r>
          <w:r w:rsidRPr="004E2893">
            <w:rPr>
              <w:rFonts w:ascii="Arial Narrow" w:hAnsi="Arial Narrow"/>
              <w:b/>
              <w:sz w:val="36"/>
              <w:lang w:eastAsia="en-US"/>
            </w:rPr>
            <w:t>Colle</w:t>
          </w:r>
          <w:r w:rsidRPr="004E2893">
            <w:rPr>
              <w:rFonts w:ascii="Arial Narrow" w:hAnsi="Arial Narrow"/>
              <w:b/>
              <w:spacing w:val="-2"/>
              <w:sz w:val="36"/>
              <w:lang w:eastAsia="en-US"/>
            </w:rPr>
            <w:t xml:space="preserve"> </w:t>
          </w:r>
          <w:r w:rsidRPr="004E2893">
            <w:rPr>
              <w:rFonts w:ascii="Arial Narrow" w:hAnsi="Arial Narrow"/>
              <w:b/>
              <w:sz w:val="36"/>
              <w:lang w:eastAsia="en-US"/>
            </w:rPr>
            <w:t>di Val</w:t>
          </w:r>
          <w:r w:rsidRPr="004E2893">
            <w:rPr>
              <w:rFonts w:ascii="Arial Narrow" w:hAnsi="Arial Narrow"/>
              <w:b/>
              <w:spacing w:val="-1"/>
              <w:sz w:val="36"/>
              <w:lang w:eastAsia="en-US"/>
            </w:rPr>
            <w:t xml:space="preserve"> </w:t>
          </w:r>
          <w:r w:rsidRPr="004E2893">
            <w:rPr>
              <w:rFonts w:ascii="Arial Narrow" w:hAnsi="Arial Narrow"/>
              <w:b/>
              <w:spacing w:val="-2"/>
              <w:sz w:val="36"/>
              <w:lang w:eastAsia="en-US"/>
            </w:rPr>
            <w:t>d'Elsa</w:t>
          </w:r>
        </w:p>
        <w:p w14:paraId="6C4DA57A" w14:textId="77777777" w:rsidR="00F43E4E" w:rsidRPr="004E2893" w:rsidRDefault="00F43E4E" w:rsidP="00F43E4E">
          <w:pPr>
            <w:widowControl w:val="0"/>
            <w:autoSpaceDE w:val="0"/>
            <w:autoSpaceDN w:val="0"/>
            <w:spacing w:before="69" w:line="275" w:lineRule="exact"/>
            <w:ind w:left="20"/>
            <w:rPr>
              <w:rFonts w:ascii="Arial Narrow"/>
              <w:lang w:eastAsia="en-US"/>
            </w:rPr>
          </w:pPr>
          <w:r w:rsidRPr="004E2893">
            <w:rPr>
              <w:rFonts w:ascii="Arial Narrow"/>
              <w:lang w:eastAsia="en-US"/>
            </w:rPr>
            <w:t>Provincia</w:t>
          </w:r>
          <w:r w:rsidRPr="004E2893">
            <w:rPr>
              <w:rFonts w:ascii="Arial Narrow"/>
              <w:spacing w:val="-3"/>
              <w:lang w:eastAsia="en-US"/>
            </w:rPr>
            <w:t xml:space="preserve"> </w:t>
          </w:r>
          <w:r w:rsidRPr="004E2893">
            <w:rPr>
              <w:rFonts w:ascii="Arial Narrow"/>
              <w:lang w:eastAsia="en-US"/>
            </w:rPr>
            <w:t>di</w:t>
          </w:r>
          <w:r w:rsidRPr="004E2893">
            <w:rPr>
              <w:rFonts w:ascii="Arial Narrow"/>
              <w:spacing w:val="-4"/>
              <w:lang w:eastAsia="en-US"/>
            </w:rPr>
            <w:t xml:space="preserve"> Siena</w:t>
          </w:r>
        </w:p>
        <w:p w14:paraId="79D22C08" w14:textId="103D0BD9" w:rsidR="00F43E4E" w:rsidRPr="004E2893" w:rsidRDefault="00F43E4E" w:rsidP="00F43E4E">
          <w:pPr>
            <w:widowControl w:val="0"/>
            <w:autoSpaceDE w:val="0"/>
            <w:autoSpaceDN w:val="0"/>
            <w:spacing w:line="321" w:lineRule="exact"/>
            <w:ind w:left="20"/>
            <w:rPr>
              <w:rFonts w:ascii="Arial Narrow"/>
              <w:b/>
              <w:sz w:val="28"/>
              <w:lang w:eastAsia="en-US"/>
            </w:rPr>
          </w:pPr>
        </w:p>
      </w:tc>
    </w:tr>
  </w:tbl>
  <w:p w14:paraId="6A926AEC" w14:textId="77777777" w:rsidR="00F43E4E" w:rsidRDefault="00F43E4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2268"/>
    <w:multiLevelType w:val="hybridMultilevel"/>
    <w:tmpl w:val="65444978"/>
    <w:lvl w:ilvl="0" w:tplc="193200D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6B62D95"/>
    <w:multiLevelType w:val="hybridMultilevel"/>
    <w:tmpl w:val="E35CCE7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3874688"/>
    <w:multiLevelType w:val="hybridMultilevel"/>
    <w:tmpl w:val="2F5AD50A"/>
    <w:lvl w:ilvl="0" w:tplc="5BA2DA46">
      <w:start w:val="1"/>
      <w:numFmt w:val="decimal"/>
      <w:lvlText w:val="%1."/>
      <w:lvlJc w:val="left"/>
      <w:pPr>
        <w:ind w:left="460" w:hanging="300"/>
      </w:pPr>
      <w:rPr>
        <w:b/>
        <w:bCs/>
        <w:color w:val="2C5E55"/>
      </w:rPr>
    </w:lvl>
    <w:lvl w:ilvl="1" w:tplc="6F7C46EC">
      <w:numFmt w:val="decimal"/>
      <w:lvlText w:val=""/>
      <w:lvlJc w:val="left"/>
    </w:lvl>
    <w:lvl w:ilvl="2" w:tplc="1A6E6480">
      <w:numFmt w:val="decimal"/>
      <w:lvlText w:val=""/>
      <w:lvlJc w:val="left"/>
    </w:lvl>
    <w:lvl w:ilvl="3" w:tplc="0D60610C">
      <w:numFmt w:val="decimal"/>
      <w:lvlText w:val=""/>
      <w:lvlJc w:val="left"/>
    </w:lvl>
    <w:lvl w:ilvl="4" w:tplc="6F4C53A4">
      <w:numFmt w:val="decimal"/>
      <w:lvlText w:val=""/>
      <w:lvlJc w:val="left"/>
    </w:lvl>
    <w:lvl w:ilvl="5" w:tplc="35F45988">
      <w:numFmt w:val="decimal"/>
      <w:lvlText w:val=""/>
      <w:lvlJc w:val="left"/>
    </w:lvl>
    <w:lvl w:ilvl="6" w:tplc="39062D14">
      <w:numFmt w:val="decimal"/>
      <w:lvlText w:val=""/>
      <w:lvlJc w:val="left"/>
    </w:lvl>
    <w:lvl w:ilvl="7" w:tplc="B69E3BFC">
      <w:numFmt w:val="decimal"/>
      <w:lvlText w:val=""/>
      <w:lvlJc w:val="left"/>
    </w:lvl>
    <w:lvl w:ilvl="8" w:tplc="BC98A358">
      <w:numFmt w:val="decimal"/>
      <w:lvlText w:val=""/>
      <w:lvlJc w:val="left"/>
    </w:lvl>
  </w:abstractNum>
  <w:abstractNum w:abstractNumId="3" w15:restartNumberingAfterBreak="0">
    <w:nsid w:val="165E582A"/>
    <w:multiLevelType w:val="hybridMultilevel"/>
    <w:tmpl w:val="08DAE6D4"/>
    <w:lvl w:ilvl="0" w:tplc="193200D2">
      <w:start w:val="1"/>
      <w:numFmt w:val="bullet"/>
      <w:lvlText w:val=""/>
      <w:lvlJc w:val="left"/>
      <w:pPr>
        <w:ind w:left="1180" w:hanging="360"/>
      </w:pPr>
      <w:rPr>
        <w:rFonts w:ascii="Symbol" w:hAnsi="Symbol" w:hint="default"/>
      </w:rPr>
    </w:lvl>
    <w:lvl w:ilvl="1" w:tplc="04100003" w:tentative="1">
      <w:start w:val="1"/>
      <w:numFmt w:val="bullet"/>
      <w:lvlText w:val="o"/>
      <w:lvlJc w:val="left"/>
      <w:pPr>
        <w:ind w:left="1900" w:hanging="360"/>
      </w:pPr>
      <w:rPr>
        <w:rFonts w:ascii="Courier New" w:hAnsi="Courier New" w:cs="Courier New" w:hint="default"/>
      </w:rPr>
    </w:lvl>
    <w:lvl w:ilvl="2" w:tplc="04100005" w:tentative="1">
      <w:start w:val="1"/>
      <w:numFmt w:val="bullet"/>
      <w:lvlText w:val=""/>
      <w:lvlJc w:val="left"/>
      <w:pPr>
        <w:ind w:left="2620" w:hanging="360"/>
      </w:pPr>
      <w:rPr>
        <w:rFonts w:ascii="Wingdings" w:hAnsi="Wingdings" w:hint="default"/>
      </w:rPr>
    </w:lvl>
    <w:lvl w:ilvl="3" w:tplc="04100001" w:tentative="1">
      <w:start w:val="1"/>
      <w:numFmt w:val="bullet"/>
      <w:lvlText w:val=""/>
      <w:lvlJc w:val="left"/>
      <w:pPr>
        <w:ind w:left="3340" w:hanging="360"/>
      </w:pPr>
      <w:rPr>
        <w:rFonts w:ascii="Symbol" w:hAnsi="Symbol" w:hint="default"/>
      </w:rPr>
    </w:lvl>
    <w:lvl w:ilvl="4" w:tplc="04100003" w:tentative="1">
      <w:start w:val="1"/>
      <w:numFmt w:val="bullet"/>
      <w:lvlText w:val="o"/>
      <w:lvlJc w:val="left"/>
      <w:pPr>
        <w:ind w:left="4060" w:hanging="360"/>
      </w:pPr>
      <w:rPr>
        <w:rFonts w:ascii="Courier New" w:hAnsi="Courier New" w:cs="Courier New" w:hint="default"/>
      </w:rPr>
    </w:lvl>
    <w:lvl w:ilvl="5" w:tplc="04100005" w:tentative="1">
      <w:start w:val="1"/>
      <w:numFmt w:val="bullet"/>
      <w:lvlText w:val=""/>
      <w:lvlJc w:val="left"/>
      <w:pPr>
        <w:ind w:left="4780" w:hanging="360"/>
      </w:pPr>
      <w:rPr>
        <w:rFonts w:ascii="Wingdings" w:hAnsi="Wingdings" w:hint="default"/>
      </w:rPr>
    </w:lvl>
    <w:lvl w:ilvl="6" w:tplc="04100001" w:tentative="1">
      <w:start w:val="1"/>
      <w:numFmt w:val="bullet"/>
      <w:lvlText w:val=""/>
      <w:lvlJc w:val="left"/>
      <w:pPr>
        <w:ind w:left="5500" w:hanging="360"/>
      </w:pPr>
      <w:rPr>
        <w:rFonts w:ascii="Symbol" w:hAnsi="Symbol" w:hint="default"/>
      </w:rPr>
    </w:lvl>
    <w:lvl w:ilvl="7" w:tplc="04100003" w:tentative="1">
      <w:start w:val="1"/>
      <w:numFmt w:val="bullet"/>
      <w:lvlText w:val="o"/>
      <w:lvlJc w:val="left"/>
      <w:pPr>
        <w:ind w:left="6220" w:hanging="360"/>
      </w:pPr>
      <w:rPr>
        <w:rFonts w:ascii="Courier New" w:hAnsi="Courier New" w:cs="Courier New" w:hint="default"/>
      </w:rPr>
    </w:lvl>
    <w:lvl w:ilvl="8" w:tplc="04100005" w:tentative="1">
      <w:start w:val="1"/>
      <w:numFmt w:val="bullet"/>
      <w:lvlText w:val=""/>
      <w:lvlJc w:val="left"/>
      <w:pPr>
        <w:ind w:left="6940" w:hanging="360"/>
      </w:pPr>
      <w:rPr>
        <w:rFonts w:ascii="Wingdings" w:hAnsi="Wingdings" w:hint="default"/>
      </w:rPr>
    </w:lvl>
  </w:abstractNum>
  <w:abstractNum w:abstractNumId="4" w15:restartNumberingAfterBreak="0">
    <w:nsid w:val="367C016F"/>
    <w:multiLevelType w:val="hybridMultilevel"/>
    <w:tmpl w:val="42F621A0"/>
    <w:lvl w:ilvl="0" w:tplc="04100001">
      <w:start w:val="1"/>
      <w:numFmt w:val="bullet"/>
      <w:lvlText w:val=""/>
      <w:lvlJc w:val="left"/>
      <w:pPr>
        <w:ind w:left="766" w:hanging="360"/>
      </w:pPr>
      <w:rPr>
        <w:rFonts w:ascii="Symbol" w:hAnsi="Symbol"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5" w15:restartNumberingAfterBreak="0">
    <w:nsid w:val="5AF07BDA"/>
    <w:multiLevelType w:val="hybridMultilevel"/>
    <w:tmpl w:val="6C186708"/>
    <w:lvl w:ilvl="0" w:tplc="2A86C5D8">
      <w:start w:val="1"/>
      <w:numFmt w:val="decimal"/>
      <w:lvlText w:val="%1."/>
      <w:lvlJc w:val="left"/>
      <w:pPr>
        <w:ind w:left="440" w:hanging="300"/>
      </w:pPr>
      <w:rPr>
        <w:b/>
        <w:bCs/>
        <w:color w:val="2C5E55"/>
      </w:rPr>
    </w:lvl>
    <w:lvl w:ilvl="1" w:tplc="87EAC3B2">
      <w:numFmt w:val="decimal"/>
      <w:lvlText w:val=""/>
      <w:lvlJc w:val="left"/>
    </w:lvl>
    <w:lvl w:ilvl="2" w:tplc="34C8671C">
      <w:numFmt w:val="decimal"/>
      <w:lvlText w:val=""/>
      <w:lvlJc w:val="left"/>
    </w:lvl>
    <w:lvl w:ilvl="3" w:tplc="38628BB6">
      <w:numFmt w:val="decimal"/>
      <w:lvlText w:val=""/>
      <w:lvlJc w:val="left"/>
    </w:lvl>
    <w:lvl w:ilvl="4" w:tplc="406271EE">
      <w:numFmt w:val="decimal"/>
      <w:lvlText w:val=""/>
      <w:lvlJc w:val="left"/>
    </w:lvl>
    <w:lvl w:ilvl="5" w:tplc="50425898">
      <w:numFmt w:val="decimal"/>
      <w:lvlText w:val=""/>
      <w:lvlJc w:val="left"/>
    </w:lvl>
    <w:lvl w:ilvl="6" w:tplc="174649D2">
      <w:numFmt w:val="decimal"/>
      <w:lvlText w:val=""/>
      <w:lvlJc w:val="left"/>
    </w:lvl>
    <w:lvl w:ilvl="7" w:tplc="91A03690">
      <w:numFmt w:val="decimal"/>
      <w:lvlText w:val=""/>
      <w:lvlJc w:val="left"/>
    </w:lvl>
    <w:lvl w:ilvl="8" w:tplc="90824A8C">
      <w:numFmt w:val="decimal"/>
      <w:lvlText w:val=""/>
      <w:lvlJc w:val="left"/>
    </w:lvl>
  </w:abstractNum>
  <w:abstractNum w:abstractNumId="6" w15:restartNumberingAfterBreak="0">
    <w:nsid w:val="5E9F4D7E"/>
    <w:multiLevelType w:val="hybridMultilevel"/>
    <w:tmpl w:val="1D6069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72852660">
    <w:abstractNumId w:val="2"/>
    <w:lvlOverride w:ilvl="0">
      <w:startOverride w:val="1"/>
    </w:lvlOverride>
  </w:num>
  <w:num w:numId="2" w16cid:durableId="1668091411">
    <w:abstractNumId w:val="5"/>
    <w:lvlOverride w:ilvl="0">
      <w:startOverride w:val="1"/>
    </w:lvlOverride>
  </w:num>
  <w:num w:numId="3" w16cid:durableId="929316574">
    <w:abstractNumId w:val="0"/>
  </w:num>
  <w:num w:numId="4" w16cid:durableId="1116172555">
    <w:abstractNumId w:val="1"/>
  </w:num>
  <w:num w:numId="5" w16cid:durableId="1126897616">
    <w:abstractNumId w:val="4"/>
  </w:num>
  <w:num w:numId="6" w16cid:durableId="1959604012">
    <w:abstractNumId w:val="6"/>
  </w:num>
  <w:num w:numId="7" w16cid:durableId="10678726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E4E"/>
    <w:rsid w:val="000310A1"/>
    <w:rsid w:val="00067F22"/>
    <w:rsid w:val="000A0B17"/>
    <w:rsid w:val="001244F9"/>
    <w:rsid w:val="002002DD"/>
    <w:rsid w:val="002F3B6B"/>
    <w:rsid w:val="003829C5"/>
    <w:rsid w:val="00477E47"/>
    <w:rsid w:val="00480A30"/>
    <w:rsid w:val="00695BA9"/>
    <w:rsid w:val="006C6B15"/>
    <w:rsid w:val="00771F45"/>
    <w:rsid w:val="007A7219"/>
    <w:rsid w:val="00861B19"/>
    <w:rsid w:val="00885D5E"/>
    <w:rsid w:val="00890BD5"/>
    <w:rsid w:val="008F0821"/>
    <w:rsid w:val="00953FB4"/>
    <w:rsid w:val="009C29C7"/>
    <w:rsid w:val="00AC48FF"/>
    <w:rsid w:val="00F43E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E1853"/>
  <w15:chartTrackingRefBased/>
  <w15:docId w15:val="{9D7E271D-DE2B-49E8-8349-E6B2C08D6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43E4E"/>
    <w:pPr>
      <w:spacing w:after="0" w:line="240" w:lineRule="auto"/>
    </w:pPr>
    <w:rPr>
      <w:rFonts w:ascii="Calibri" w:eastAsia="Calibri" w:hAnsi="Calibri" w:cs="Calibri"/>
      <w:color w:val="222222"/>
      <w:kern w:val="0"/>
      <w:lang w:eastAsia="it-IT"/>
      <w14:ligatures w14:val="none"/>
    </w:rPr>
  </w:style>
  <w:style w:type="paragraph" w:styleId="Titolo1">
    <w:name w:val="heading 1"/>
    <w:basedOn w:val="Normale"/>
    <w:next w:val="Normale"/>
    <w:link w:val="Titolo1Carattere"/>
    <w:uiPriority w:val="9"/>
    <w:qFormat/>
    <w:rsid w:val="00F43E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unhideWhenUsed/>
    <w:qFormat/>
    <w:rsid w:val="00F43E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F43E4E"/>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F43E4E"/>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F43E4E"/>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F43E4E"/>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43E4E"/>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43E4E"/>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43E4E"/>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43E4E"/>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rsid w:val="00F43E4E"/>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F43E4E"/>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F43E4E"/>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F43E4E"/>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F43E4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43E4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43E4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43E4E"/>
    <w:rPr>
      <w:rFonts w:eastAsiaTheme="majorEastAsia" w:cstheme="majorBidi"/>
      <w:color w:val="272727" w:themeColor="text1" w:themeTint="D8"/>
    </w:rPr>
  </w:style>
  <w:style w:type="paragraph" w:styleId="Titolo">
    <w:name w:val="Title"/>
    <w:basedOn w:val="Normale"/>
    <w:next w:val="Normale"/>
    <w:link w:val="TitoloCarattere"/>
    <w:uiPriority w:val="10"/>
    <w:qFormat/>
    <w:rsid w:val="00F43E4E"/>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43E4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43E4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43E4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43E4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43E4E"/>
    <w:rPr>
      <w:i/>
      <w:iCs/>
      <w:color w:val="404040" w:themeColor="text1" w:themeTint="BF"/>
    </w:rPr>
  </w:style>
  <w:style w:type="paragraph" w:styleId="Paragrafoelenco">
    <w:name w:val="List Paragraph"/>
    <w:basedOn w:val="Normale"/>
    <w:qFormat/>
    <w:rsid w:val="00F43E4E"/>
    <w:pPr>
      <w:ind w:left="720"/>
      <w:contextualSpacing/>
    </w:pPr>
  </w:style>
  <w:style w:type="character" w:styleId="Enfasiintensa">
    <w:name w:val="Intense Emphasis"/>
    <w:basedOn w:val="Carpredefinitoparagrafo"/>
    <w:uiPriority w:val="21"/>
    <w:qFormat/>
    <w:rsid w:val="00F43E4E"/>
    <w:rPr>
      <w:i/>
      <w:iCs/>
      <w:color w:val="2F5496" w:themeColor="accent1" w:themeShade="BF"/>
    </w:rPr>
  </w:style>
  <w:style w:type="paragraph" w:styleId="Citazioneintensa">
    <w:name w:val="Intense Quote"/>
    <w:basedOn w:val="Normale"/>
    <w:next w:val="Normale"/>
    <w:link w:val="CitazioneintensaCarattere"/>
    <w:uiPriority w:val="30"/>
    <w:qFormat/>
    <w:rsid w:val="00F43E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F43E4E"/>
    <w:rPr>
      <w:i/>
      <w:iCs/>
      <w:color w:val="2F5496" w:themeColor="accent1" w:themeShade="BF"/>
    </w:rPr>
  </w:style>
  <w:style w:type="character" w:styleId="Riferimentointenso">
    <w:name w:val="Intense Reference"/>
    <w:basedOn w:val="Carpredefinitoparagrafo"/>
    <w:uiPriority w:val="32"/>
    <w:qFormat/>
    <w:rsid w:val="00F43E4E"/>
    <w:rPr>
      <w:b/>
      <w:bCs/>
      <w:smallCaps/>
      <w:color w:val="2F5496" w:themeColor="accent1" w:themeShade="BF"/>
      <w:spacing w:val="5"/>
    </w:rPr>
  </w:style>
  <w:style w:type="character" w:styleId="Collegamentoipertestuale">
    <w:name w:val="Hyperlink"/>
    <w:uiPriority w:val="99"/>
    <w:unhideWhenUsed/>
    <w:rsid w:val="00F43E4E"/>
    <w:rPr>
      <w:color w:val="0563C1"/>
      <w:u w:val="single"/>
    </w:rPr>
  </w:style>
  <w:style w:type="character" w:styleId="Rimandocommento">
    <w:name w:val="annotation reference"/>
    <w:basedOn w:val="Carpredefinitoparagrafo"/>
    <w:uiPriority w:val="99"/>
    <w:semiHidden/>
    <w:unhideWhenUsed/>
    <w:rsid w:val="00F43E4E"/>
    <w:rPr>
      <w:sz w:val="16"/>
      <w:szCs w:val="16"/>
    </w:rPr>
  </w:style>
  <w:style w:type="paragraph" w:styleId="Testocommento">
    <w:name w:val="annotation text"/>
    <w:basedOn w:val="Normale"/>
    <w:link w:val="TestocommentoCarattere"/>
    <w:uiPriority w:val="99"/>
    <w:unhideWhenUsed/>
    <w:rsid w:val="00F43E4E"/>
    <w:rPr>
      <w:sz w:val="20"/>
      <w:szCs w:val="20"/>
    </w:rPr>
  </w:style>
  <w:style w:type="character" w:customStyle="1" w:styleId="TestocommentoCarattere">
    <w:name w:val="Testo commento Carattere"/>
    <w:basedOn w:val="Carpredefinitoparagrafo"/>
    <w:link w:val="Testocommento"/>
    <w:uiPriority w:val="99"/>
    <w:rsid w:val="00F43E4E"/>
    <w:rPr>
      <w:rFonts w:ascii="Calibri" w:eastAsia="Calibri" w:hAnsi="Calibri" w:cs="Calibri"/>
      <w:color w:val="222222"/>
      <w:kern w:val="0"/>
      <w:sz w:val="20"/>
      <w:szCs w:val="20"/>
      <w:lang w:eastAsia="it-IT"/>
      <w14:ligatures w14:val="none"/>
    </w:rPr>
  </w:style>
  <w:style w:type="paragraph" w:styleId="Intestazione">
    <w:name w:val="header"/>
    <w:basedOn w:val="Normale"/>
    <w:link w:val="IntestazioneCarattere"/>
    <w:uiPriority w:val="99"/>
    <w:unhideWhenUsed/>
    <w:rsid w:val="00F43E4E"/>
    <w:pPr>
      <w:tabs>
        <w:tab w:val="center" w:pos="4819"/>
        <w:tab w:val="right" w:pos="9638"/>
      </w:tabs>
    </w:pPr>
  </w:style>
  <w:style w:type="character" w:customStyle="1" w:styleId="IntestazioneCarattere">
    <w:name w:val="Intestazione Carattere"/>
    <w:basedOn w:val="Carpredefinitoparagrafo"/>
    <w:link w:val="Intestazione"/>
    <w:uiPriority w:val="99"/>
    <w:rsid w:val="00F43E4E"/>
    <w:rPr>
      <w:rFonts w:ascii="Calibri" w:eastAsia="Calibri" w:hAnsi="Calibri" w:cs="Calibri"/>
      <w:color w:val="222222"/>
      <w:kern w:val="0"/>
      <w:lang w:eastAsia="it-IT"/>
      <w14:ligatures w14:val="none"/>
    </w:rPr>
  </w:style>
  <w:style w:type="paragraph" w:styleId="Pidipagina">
    <w:name w:val="footer"/>
    <w:basedOn w:val="Normale"/>
    <w:link w:val="PidipaginaCarattere"/>
    <w:unhideWhenUsed/>
    <w:rsid w:val="00F43E4E"/>
    <w:pPr>
      <w:tabs>
        <w:tab w:val="center" w:pos="4819"/>
        <w:tab w:val="right" w:pos="9638"/>
      </w:tabs>
    </w:pPr>
  </w:style>
  <w:style w:type="character" w:customStyle="1" w:styleId="PidipaginaCarattere">
    <w:name w:val="Piè di pagina Carattere"/>
    <w:basedOn w:val="Carpredefinitoparagrafo"/>
    <w:link w:val="Pidipagina"/>
    <w:rsid w:val="00F43E4E"/>
    <w:rPr>
      <w:rFonts w:ascii="Calibri" w:eastAsia="Calibri" w:hAnsi="Calibri" w:cs="Calibri"/>
      <w:color w:val="222222"/>
      <w:kern w:val="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2628</Words>
  <Characters>14454</Characters>
  <Application>Microsoft Office Word</Application>
  <DocSecurity>0</DocSecurity>
  <Lines>120</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Viola Guasconi</dc:creator>
  <cp:keywords/>
  <dc:description/>
  <cp:lastModifiedBy>Viola Guasconi</cp:lastModifiedBy>
  <cp:revision>13</cp:revision>
  <dcterms:created xsi:type="dcterms:W3CDTF">2026-07-22T11:16:00Z</dcterms:created>
  <dcterms:modified xsi:type="dcterms:W3CDTF">2026-07-23T13:14:00Z</dcterms:modified>
</cp:coreProperties>
</file>