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5FF73" w14:textId="77777777" w:rsidR="005E2B58" w:rsidRDefault="005E2B58" w:rsidP="005E2B58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Italic" w:hAnsi="CenturyGothic,BoldItalic" w:cs="CenturyGothic,BoldItalic"/>
          <w:b/>
          <w:bCs/>
          <w:i/>
          <w:iCs/>
          <w:kern w:val="0"/>
          <w:sz w:val="24"/>
          <w:szCs w:val="24"/>
        </w:rPr>
      </w:pPr>
    </w:p>
    <w:p w14:paraId="6C7AFAE0" w14:textId="77777777" w:rsidR="005E2B58" w:rsidRDefault="005E2B58" w:rsidP="005E2B58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Italic" w:hAnsi="CenturyGothic,BoldItalic" w:cs="CenturyGothic,BoldItalic"/>
          <w:b/>
          <w:bCs/>
          <w:i/>
          <w:iCs/>
          <w:kern w:val="0"/>
          <w:sz w:val="24"/>
          <w:szCs w:val="24"/>
        </w:rPr>
      </w:pPr>
    </w:p>
    <w:p w14:paraId="53F9B6D7" w14:textId="0985C8F4" w:rsidR="005E2B58" w:rsidRPr="005E2B58" w:rsidRDefault="005E2B58" w:rsidP="005E2B58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</w:pPr>
      <w:r w:rsidRPr="005E2B58"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  <w:t>PROTOCOLLO INCARICHI PROFESSIONALI</w:t>
      </w:r>
    </w:p>
    <w:p w14:paraId="2DE83784" w14:textId="77777777" w:rsidR="005E2B58" w:rsidRPr="005E2B58" w:rsidRDefault="005E2B58" w:rsidP="005E2B58">
      <w:pPr>
        <w:autoSpaceDE w:val="0"/>
        <w:autoSpaceDN w:val="0"/>
        <w:adjustRightInd w:val="0"/>
        <w:spacing w:after="100" w:afterAutospacing="1" w:line="240" w:lineRule="auto"/>
        <w:rPr>
          <w:rFonts w:ascii="PalatinoLinotype" w:hAnsi="PalatinoLinotype" w:cs="PalatinoLinotype"/>
          <w:kern w:val="0"/>
          <w:sz w:val="28"/>
          <w:szCs w:val="28"/>
        </w:rPr>
      </w:pPr>
      <w:r w:rsidRPr="005E2B58">
        <w:rPr>
          <w:rFonts w:ascii="PalatinoLinotype" w:hAnsi="PalatinoLinotype" w:cs="PalatinoLinotype"/>
          <w:kern w:val="0"/>
          <w:sz w:val="28"/>
          <w:szCs w:val="28"/>
        </w:rPr>
        <w:t>a) PREMESSA</w:t>
      </w:r>
    </w:p>
    <w:p w14:paraId="40A67B86" w14:textId="77777777" w:rsidR="005E2B58" w:rsidRPr="005E2B58" w:rsidRDefault="005E2B58" w:rsidP="005E2B58">
      <w:pPr>
        <w:autoSpaceDE w:val="0"/>
        <w:autoSpaceDN w:val="0"/>
        <w:adjustRightInd w:val="0"/>
        <w:spacing w:after="100" w:afterAutospacing="1" w:line="240" w:lineRule="auto"/>
        <w:rPr>
          <w:rFonts w:ascii="PalatinoLinotype" w:hAnsi="PalatinoLinotype" w:cs="PalatinoLinotype"/>
          <w:kern w:val="0"/>
          <w:sz w:val="28"/>
          <w:szCs w:val="28"/>
        </w:rPr>
      </w:pPr>
      <w:r w:rsidRPr="005E2B58">
        <w:rPr>
          <w:rFonts w:ascii="PalatinoLinotype" w:hAnsi="PalatinoLinotype" w:cs="PalatinoLinotype"/>
          <w:kern w:val="0"/>
          <w:sz w:val="28"/>
          <w:szCs w:val="28"/>
        </w:rPr>
        <w:t>b) SOGGETTI COINVOLTI</w:t>
      </w:r>
    </w:p>
    <w:p w14:paraId="4DDDA2D7" w14:textId="77777777" w:rsidR="005E2B58" w:rsidRPr="005E2B58" w:rsidRDefault="005E2B58" w:rsidP="005E2B58">
      <w:pPr>
        <w:autoSpaceDE w:val="0"/>
        <w:autoSpaceDN w:val="0"/>
        <w:adjustRightInd w:val="0"/>
        <w:spacing w:after="100" w:afterAutospacing="1" w:line="240" w:lineRule="auto"/>
        <w:rPr>
          <w:rFonts w:ascii="PalatinoLinotype" w:hAnsi="PalatinoLinotype" w:cs="PalatinoLinotype"/>
          <w:kern w:val="0"/>
          <w:sz w:val="28"/>
          <w:szCs w:val="28"/>
        </w:rPr>
      </w:pPr>
      <w:r w:rsidRPr="005E2B58">
        <w:rPr>
          <w:rFonts w:ascii="PalatinoLinotype" w:hAnsi="PalatinoLinotype" w:cs="PalatinoLinotype"/>
          <w:kern w:val="0"/>
          <w:sz w:val="28"/>
          <w:szCs w:val="28"/>
        </w:rPr>
        <w:t>c) DISPOSIZIONI OPERATIVE</w:t>
      </w:r>
    </w:p>
    <w:p w14:paraId="4ABCDFCE" w14:textId="5EDF5F6C" w:rsidR="005E2B58" w:rsidRDefault="005E2B58" w:rsidP="005E2B5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kern w:val="0"/>
          <w:sz w:val="24"/>
          <w:szCs w:val="24"/>
        </w:rPr>
      </w:pPr>
    </w:p>
    <w:p w14:paraId="0F5ED992" w14:textId="585F5EA5" w:rsidR="005E2B58" w:rsidRDefault="005E2B58" w:rsidP="005E2B5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kern w:val="0"/>
          <w:sz w:val="24"/>
          <w:szCs w:val="24"/>
        </w:rPr>
      </w:pPr>
      <w:r w:rsidRPr="005E2B58">
        <w:rPr>
          <w:rFonts w:ascii="Arial,Bold" w:hAnsi="Arial,Bold" w:cs="Arial,Bold"/>
          <w:b/>
          <w:bCs/>
          <w:kern w:val="0"/>
          <w:sz w:val="24"/>
          <w:szCs w:val="24"/>
        </w:rPr>
        <w:drawing>
          <wp:inline distT="0" distB="0" distL="0" distR="0" wp14:anchorId="5DBEBAFA" wp14:editId="2CD9C8C1">
            <wp:extent cx="6120130" cy="647065"/>
            <wp:effectExtent l="0" t="0" r="0" b="635"/>
            <wp:docPr id="85411094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11094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0D689" w14:textId="77777777" w:rsidR="005E2B58" w:rsidRDefault="005E2B58" w:rsidP="005E2B5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kern w:val="0"/>
          <w:sz w:val="24"/>
          <w:szCs w:val="24"/>
        </w:rPr>
      </w:pPr>
    </w:p>
    <w:p w14:paraId="46685D33" w14:textId="77777777" w:rsid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 xml:space="preserve">Il conferimento di incarichi professionali da parte del Comune di 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Colle di Val d’Elsa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avviene nel rispetto delle disposizioni normative in vigore in materia anche di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natura regolamentare.</w:t>
      </w:r>
    </w:p>
    <w:p w14:paraId="45F9E983" w14:textId="77777777" w:rsid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</w:p>
    <w:p w14:paraId="09EC6920" w14:textId="688DD9FE" w:rsidR="005E2B58" w:rsidRP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>
        <w:rPr>
          <w:rFonts w:ascii="Century Gothic" w:hAnsi="Century Gothic" w:cs="CenturyGothic"/>
          <w:kern w:val="0"/>
          <w:sz w:val="24"/>
          <w:szCs w:val="24"/>
        </w:rPr>
        <w:t>I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l seguente protocollo intende porre le regole procedurali in materia di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affidamento a professionisti esterni di incarichi professionali, in considerazione del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fatto che la presente attività è da considerarsi - in astratto - a rischio di reato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L.190/2012.</w:t>
      </w:r>
    </w:p>
    <w:p w14:paraId="135D1722" w14:textId="77777777" w:rsid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</w:p>
    <w:p w14:paraId="1B9210E9" w14:textId="2A97465C" w:rsid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Sugli incarichi professionali grava astrattamente il rischio che gli incarichi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dissimulino illecite attribuzioni di utilità a soggetti legati direttamente o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indirettamente a pubblici ufficiali che hanno rapporti diretti con il Comune al fine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di ottenere un ingiusto vantaggio a danno della P.A. (ad esempio, con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l’assegnazione di incarichi professionali a persone o società “gradite” ai soggetti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della Pubblica Amministrazione, per ottenere in cambio favori nell’ambito dello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svolgimento di altre attività comunali), ovvero la distrazione di liquidità dalla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contabilità ufficiale per alimentare i “fondi occulti”, tramite la sovrafatturazione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dei beni e servizi acquistati dal fornitore</w:t>
      </w:r>
      <w:r>
        <w:rPr>
          <w:rFonts w:ascii="Century Gothic" w:hAnsi="Century Gothic" w:cs="CenturyGothic"/>
          <w:kern w:val="0"/>
          <w:sz w:val="24"/>
          <w:szCs w:val="24"/>
        </w:rPr>
        <w:t>.</w:t>
      </w:r>
    </w:p>
    <w:p w14:paraId="3D22F14A" w14:textId="77777777" w:rsidR="005E2B58" w:rsidRP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</w:p>
    <w:p w14:paraId="4D9F7636" w14:textId="77777777" w:rsidR="005E2B58" w:rsidRP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Occorre pertanto delineare una procedura quanto più trasparente possibile di</w:t>
      </w:r>
    </w:p>
    <w:p w14:paraId="7986DEF7" w14:textId="77777777" w:rsid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esternalizzazione di servizi ed attività che:</w:t>
      </w:r>
    </w:p>
    <w:p w14:paraId="19FF8917" w14:textId="77777777" w:rsidR="005E2B58" w:rsidRP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</w:p>
    <w:p w14:paraId="4DE66139" w14:textId="77777777" w:rsidR="005E2B58" w:rsidRDefault="005E2B58" w:rsidP="008B322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imponga l’obbligo di motivazione dell’esigenza di ricorrere ad incarichi esterni;</w:t>
      </w:r>
    </w:p>
    <w:p w14:paraId="51048FFC" w14:textId="77777777" w:rsidR="005E2B58" w:rsidRDefault="005E2B58" w:rsidP="008B322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imponga il controllo sulle somme erogate (congruità parcelle/notule), seppur nel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completo rispetto della libera contrattazione e delle tariffe applicabili alle singole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professionalità;</w:t>
      </w:r>
    </w:p>
    <w:p w14:paraId="24065A29" w14:textId="275A5F3E" w:rsidR="005E2B58" w:rsidRPr="005E2B58" w:rsidRDefault="005E2B58" w:rsidP="008B322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preveda la sua applicabilità nei limiti del rispetto delle previsioni normative.</w:t>
      </w:r>
    </w:p>
    <w:p w14:paraId="22BD9204" w14:textId="78D59681" w:rsidR="005E2B58" w:rsidRDefault="005E2B58" w:rsidP="008B322C">
      <w:pPr>
        <w:autoSpaceDE w:val="0"/>
        <w:autoSpaceDN w:val="0"/>
        <w:adjustRightInd w:val="0"/>
        <w:spacing w:after="0" w:line="276" w:lineRule="auto"/>
        <w:rPr>
          <w:rFonts w:ascii="Arial,Bold" w:hAnsi="Arial,Bold" w:cs="Arial,Bold"/>
          <w:b/>
          <w:bCs/>
          <w:kern w:val="0"/>
          <w:sz w:val="24"/>
          <w:szCs w:val="24"/>
        </w:rPr>
      </w:pPr>
    </w:p>
    <w:p w14:paraId="2B9D9002" w14:textId="77777777" w:rsidR="005E2B58" w:rsidRDefault="005E2B58" w:rsidP="008B322C">
      <w:pPr>
        <w:autoSpaceDE w:val="0"/>
        <w:autoSpaceDN w:val="0"/>
        <w:adjustRightInd w:val="0"/>
        <w:spacing w:after="0" w:line="276" w:lineRule="auto"/>
        <w:rPr>
          <w:rFonts w:ascii="Arial,Bold" w:hAnsi="Arial,Bold" w:cs="Arial,Bold"/>
          <w:b/>
          <w:bCs/>
          <w:kern w:val="0"/>
          <w:sz w:val="24"/>
          <w:szCs w:val="24"/>
        </w:rPr>
      </w:pPr>
    </w:p>
    <w:p w14:paraId="3B198DB8" w14:textId="0A8157A8" w:rsidR="005E2B58" w:rsidRDefault="005E2B58" w:rsidP="008B322C">
      <w:pPr>
        <w:autoSpaceDE w:val="0"/>
        <w:autoSpaceDN w:val="0"/>
        <w:adjustRightInd w:val="0"/>
        <w:spacing w:after="0" w:line="276" w:lineRule="auto"/>
        <w:rPr>
          <w:rFonts w:ascii="Arial,Bold" w:hAnsi="Arial,Bold" w:cs="Arial,Bold"/>
          <w:b/>
          <w:bCs/>
          <w:kern w:val="0"/>
          <w:sz w:val="24"/>
          <w:szCs w:val="24"/>
        </w:rPr>
      </w:pPr>
      <w:r w:rsidRPr="005E2B58">
        <w:rPr>
          <w:rFonts w:ascii="Arial,Bold" w:hAnsi="Arial,Bold" w:cs="Arial,Bold"/>
          <w:b/>
          <w:bCs/>
          <w:kern w:val="0"/>
          <w:sz w:val="24"/>
          <w:szCs w:val="24"/>
        </w:rPr>
        <w:drawing>
          <wp:inline distT="0" distB="0" distL="0" distR="0" wp14:anchorId="1F0C83AD" wp14:editId="36467716">
            <wp:extent cx="6172200" cy="396875"/>
            <wp:effectExtent l="0" t="0" r="0" b="3175"/>
            <wp:docPr id="23811180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118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9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0E17F" w14:textId="77777777" w:rsidR="005E2B58" w:rsidRDefault="005E2B58" w:rsidP="008B322C">
      <w:pPr>
        <w:autoSpaceDE w:val="0"/>
        <w:autoSpaceDN w:val="0"/>
        <w:adjustRightInd w:val="0"/>
        <w:spacing w:after="100" w:afterAutospacing="1" w:line="276" w:lineRule="auto"/>
        <w:rPr>
          <w:rFonts w:ascii="CenturyGothic" w:hAnsi="CenturyGothic" w:cs="CenturyGothic"/>
          <w:kern w:val="0"/>
          <w:sz w:val="24"/>
          <w:szCs w:val="24"/>
        </w:rPr>
      </w:pPr>
    </w:p>
    <w:p w14:paraId="15E56C7C" w14:textId="56AA6927" w:rsidR="005E2B58" w:rsidRPr="005E2B58" w:rsidRDefault="005E2B58" w:rsidP="008B322C">
      <w:pPr>
        <w:autoSpaceDE w:val="0"/>
        <w:autoSpaceDN w:val="0"/>
        <w:adjustRightInd w:val="0"/>
        <w:spacing w:after="100" w:afterAutospacing="1" w:line="276" w:lineRule="auto"/>
        <w:rPr>
          <w:rFonts w:ascii="Century Gothic" w:hAnsi="Century Gothic" w:cs="CenturyGothic"/>
          <w:kern w:val="0"/>
          <w:sz w:val="24"/>
          <w:szCs w:val="24"/>
        </w:rPr>
      </w:pPr>
      <w:r>
        <w:rPr>
          <w:rFonts w:ascii="CenturyGothic" w:hAnsi="CenturyGothic" w:cs="CenturyGothic"/>
          <w:kern w:val="0"/>
          <w:sz w:val="24"/>
          <w:szCs w:val="24"/>
        </w:rPr>
        <w:t xml:space="preserve">-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Responsabili di Posizioni Organizzative</w:t>
      </w:r>
    </w:p>
    <w:p w14:paraId="1D7F8726" w14:textId="77777777" w:rsidR="005E2B58" w:rsidRPr="005E2B58" w:rsidRDefault="005E2B58" w:rsidP="008B322C">
      <w:pPr>
        <w:autoSpaceDE w:val="0"/>
        <w:autoSpaceDN w:val="0"/>
        <w:adjustRightInd w:val="0"/>
        <w:spacing w:after="100" w:afterAutospacing="1" w:line="276" w:lineRule="auto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- Responsabili di Area</w:t>
      </w:r>
    </w:p>
    <w:p w14:paraId="407075D3" w14:textId="77777777" w:rsidR="005E2B58" w:rsidRPr="005E2B58" w:rsidRDefault="005E2B58" w:rsidP="008B322C">
      <w:pPr>
        <w:autoSpaceDE w:val="0"/>
        <w:autoSpaceDN w:val="0"/>
        <w:adjustRightInd w:val="0"/>
        <w:spacing w:after="100" w:afterAutospacing="1" w:line="276" w:lineRule="auto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- Responsabili di Procedimento</w:t>
      </w:r>
    </w:p>
    <w:p w14:paraId="62F3AC4A" w14:textId="77777777" w:rsidR="005E2B58" w:rsidRDefault="005E2B58" w:rsidP="008B322C">
      <w:pPr>
        <w:autoSpaceDE w:val="0"/>
        <w:autoSpaceDN w:val="0"/>
        <w:adjustRightInd w:val="0"/>
        <w:spacing w:after="100" w:afterAutospacing="1" w:line="276" w:lineRule="auto"/>
        <w:rPr>
          <w:rFonts w:ascii="Arial,Bold" w:hAnsi="Arial,Bold" w:cs="Arial,Bold"/>
          <w:b/>
          <w:bCs/>
          <w:kern w:val="0"/>
          <w:sz w:val="24"/>
          <w:szCs w:val="24"/>
        </w:rPr>
      </w:pPr>
    </w:p>
    <w:p w14:paraId="6C138384" w14:textId="550CC786" w:rsidR="005E2B58" w:rsidRDefault="005E2B58" w:rsidP="008B322C">
      <w:pPr>
        <w:autoSpaceDE w:val="0"/>
        <w:autoSpaceDN w:val="0"/>
        <w:adjustRightInd w:val="0"/>
        <w:spacing w:after="0" w:line="276" w:lineRule="auto"/>
        <w:rPr>
          <w:rFonts w:ascii="CenturyGothic" w:hAnsi="CenturyGothic" w:cs="CenturyGothic"/>
          <w:kern w:val="0"/>
          <w:sz w:val="24"/>
          <w:szCs w:val="24"/>
        </w:rPr>
      </w:pPr>
      <w:r w:rsidRPr="005E2B58">
        <w:rPr>
          <w:rFonts w:ascii="CenturyGothic" w:hAnsi="CenturyGothic" w:cs="CenturyGothic"/>
          <w:kern w:val="0"/>
          <w:sz w:val="24"/>
          <w:szCs w:val="24"/>
        </w:rPr>
        <w:drawing>
          <wp:inline distT="0" distB="0" distL="0" distR="0" wp14:anchorId="664F34CC" wp14:editId="50B1C708">
            <wp:extent cx="6120130" cy="407670"/>
            <wp:effectExtent l="0" t="0" r="0" b="0"/>
            <wp:docPr id="1081122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1227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272A7" w14:textId="77777777" w:rsid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</w:p>
    <w:p w14:paraId="77FCDE7C" w14:textId="5DBD54DE" w:rsid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Le discipline regolamentari vigenti sui contratti e le procedure di acquisizione in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economia e quello sull’ordinamento degli uffici e servizi disciplina, “ratione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materiae”, anche l’assegnazione di prestazioni professionali e costituisce, a tutti gli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effetti, parte integrante del presente protocollo. In ogni caso, i suddetti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regolamenti sono da considerarsi sovraordinati rispetto al presente protocollo.</w:t>
      </w:r>
    </w:p>
    <w:p w14:paraId="60DF9CFE" w14:textId="77777777" w:rsidR="005E2B58" w:rsidRP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</w:p>
    <w:p w14:paraId="3AF03807" w14:textId="77777777" w:rsidR="005E2B58" w:rsidRP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,Bold"/>
          <w:b/>
          <w:bCs/>
          <w:kern w:val="0"/>
          <w:sz w:val="24"/>
          <w:szCs w:val="24"/>
        </w:rPr>
      </w:pPr>
      <w:r w:rsidRPr="005E2B58">
        <w:rPr>
          <w:rFonts w:ascii="Century Gothic" w:hAnsi="Century Gothic" w:cs="CenturyGothic,Bold"/>
          <w:b/>
          <w:bCs/>
          <w:kern w:val="0"/>
          <w:sz w:val="24"/>
          <w:szCs w:val="24"/>
        </w:rPr>
        <w:t>Soggetti competenti a deliberare</w:t>
      </w:r>
    </w:p>
    <w:p w14:paraId="188A7FDC" w14:textId="77777777" w:rsid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</w:p>
    <w:p w14:paraId="2CA23D7C" w14:textId="7D96AD7D" w:rsidR="005E2B58" w:rsidRP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I Responsabili mediante determinazione esplicitano l’esigenza di avvalersi di una</w:t>
      </w:r>
    </w:p>
    <w:p w14:paraId="671D88D3" w14:textId="77777777" w:rsidR="005E2B58" w:rsidRP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professionalità esterna, indicando:</w:t>
      </w:r>
    </w:p>
    <w:p w14:paraId="100BEFFC" w14:textId="77777777" w:rsidR="005E2B58" w:rsidRDefault="005E2B58" w:rsidP="008B322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i motivi che determinano la richiesta (effettiva ed accertata impossibilità di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ricorso a risorse interne);</w:t>
      </w:r>
    </w:p>
    <w:p w14:paraId="35EF9869" w14:textId="77777777" w:rsidR="005E2B58" w:rsidRDefault="005E2B58" w:rsidP="008B322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l’attività richiesta;</w:t>
      </w:r>
    </w:p>
    <w:p w14:paraId="164BBDF7" w14:textId="596C8C10" w:rsidR="005E2B58" w:rsidRPr="005E2B58" w:rsidRDefault="005E2B58" w:rsidP="008B322C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le caratteristiche professionali e le competenze specialistiche specifiche del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professionista che si chiede di incaricare;</w:t>
      </w:r>
    </w:p>
    <w:p w14:paraId="7FDCE814" w14:textId="77777777" w:rsid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</w:p>
    <w:p w14:paraId="6E309AD4" w14:textId="3C8DC787" w:rsid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Ciascun Responsabile potrà altresì assegnare incarichi direttamente, entro il limite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di importo stabilito nelle fonti regolamentari e normative laddove per la tipologia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di incarico non sia obbligatoria la procedura comparativa, come nel caso di</w:t>
      </w:r>
      <w:r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incarichi di consulenza, ricerca e studio.</w:t>
      </w:r>
    </w:p>
    <w:p w14:paraId="0DAF6690" w14:textId="77777777" w:rsidR="005E2B58" w:rsidRP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</w:p>
    <w:p w14:paraId="66B4A7AA" w14:textId="6A0F6280" w:rsid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Per questa tipologia si prega di f</w:t>
      </w:r>
      <w:r w:rsidR="005F1C49">
        <w:rPr>
          <w:rFonts w:ascii="Century Gothic" w:hAnsi="Century Gothic" w:cs="CenturyGothic"/>
          <w:kern w:val="0"/>
          <w:sz w:val="24"/>
          <w:szCs w:val="24"/>
        </w:rPr>
        <w:t>a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re attenzione nel provvedimento di incarico di</w:t>
      </w:r>
      <w:r w:rsidR="005F1C49"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fare attenzione ai seguenti aspetti e presupposti legittimanti:</w:t>
      </w:r>
    </w:p>
    <w:p w14:paraId="78E1782D" w14:textId="77777777" w:rsidR="005F1C49" w:rsidRPr="005E2B58" w:rsidRDefault="005F1C49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</w:p>
    <w:p w14:paraId="37B86D64" w14:textId="77777777" w:rsidR="005F1C49" w:rsidRDefault="005E2B58" w:rsidP="008B322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3"/>
          <w:szCs w:val="23"/>
        </w:rPr>
      </w:pPr>
      <w:r w:rsidRPr="005F1C49">
        <w:rPr>
          <w:rFonts w:ascii="Century Gothic" w:hAnsi="Century Gothic" w:cs="CenturyGothic"/>
          <w:kern w:val="0"/>
          <w:sz w:val="23"/>
          <w:szCs w:val="23"/>
        </w:rPr>
        <w:t>Il Responsabile deve avere previamente accertato l’oggettiva impossibilità di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utilizzare le strutture organizzative e le risorse umane interne all’ente in grado di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lastRenderedPageBreak/>
        <w:t>assicurare i medesimi servizi; e della sussistenza di detta condizione deve poi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dare esplicitamente ed adeguatamente conto nella motivazione del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provvedimento che decide il conferimento dell’incarico;</w:t>
      </w:r>
    </w:p>
    <w:p w14:paraId="50294017" w14:textId="77777777" w:rsidR="005F1C49" w:rsidRDefault="005E2B58" w:rsidP="008B322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3"/>
          <w:szCs w:val="23"/>
        </w:rPr>
      </w:pPr>
      <w:r w:rsidRPr="005F1C49">
        <w:rPr>
          <w:rFonts w:ascii="Century Gothic" w:hAnsi="Century Gothic" w:cs="CenturyGothic"/>
          <w:kern w:val="0"/>
          <w:sz w:val="23"/>
          <w:szCs w:val="23"/>
        </w:rPr>
        <w:t>in talune circostanze, eccessivamente l’impossibilità oggettiva di utilizzo del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personale interno pu</w:t>
      </w:r>
      <w:r w:rsidR="005F1C49" w:rsidRPr="005F1C49">
        <w:rPr>
          <w:rFonts w:ascii="Century Gothic" w:hAnsi="Century Gothic" w:cs="CenturyGothic"/>
          <w:kern w:val="0"/>
          <w:sz w:val="23"/>
          <w:szCs w:val="23"/>
        </w:rPr>
        <w:t>ò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 xml:space="preserve"> derivare anche dalla sua </w:t>
      </w:r>
      <w:r w:rsidRPr="005F1C49">
        <w:rPr>
          <w:rFonts w:ascii="Century Gothic" w:hAnsi="Century Gothic" w:cs="CenturyGothic,Italic"/>
          <w:i/>
          <w:iCs/>
          <w:kern w:val="0"/>
          <w:sz w:val="23"/>
          <w:szCs w:val="23"/>
        </w:rPr>
        <w:t xml:space="preserve">soggettiva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indisponibilità,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unicamente, però, nei casi, intuibilmente limitatissimi, in cui ricorrano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congiuntamente le due seguenti condizioni:</w:t>
      </w:r>
    </w:p>
    <w:p w14:paraId="149F9738" w14:textId="77777777" w:rsidR="005F1C49" w:rsidRDefault="005E2B58" w:rsidP="008B322C">
      <w:pPr>
        <w:pStyle w:val="Paragrafoelenco"/>
        <w:numPr>
          <w:ilvl w:val="1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3"/>
          <w:szCs w:val="23"/>
        </w:rPr>
      </w:pPr>
      <w:r w:rsidRPr="005F1C49">
        <w:rPr>
          <w:rFonts w:ascii="Century Gothic" w:hAnsi="Century Gothic" w:cs="CenturyGothic"/>
          <w:kern w:val="0"/>
          <w:sz w:val="23"/>
          <w:szCs w:val="23"/>
        </w:rPr>
        <w:t>l’esigenza che si ritiene di soddisfare con l’incarico si presenti con</w:t>
      </w:r>
      <w:r w:rsidR="005F1C49" w:rsidRP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incontrovertibile carattere di urgenza e, soprattutto, di non prevedibilità con</w:t>
      </w:r>
      <w:r w:rsidR="005F1C49" w:rsidRP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l’uso dell’ordinaria diligenza e di una corretta programmazione delle attività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dell’ente e dei fabbisogni di personale;</w:t>
      </w:r>
    </w:p>
    <w:p w14:paraId="207F1CD9" w14:textId="77777777" w:rsidR="005F1C49" w:rsidRDefault="005E2B58" w:rsidP="008B322C">
      <w:pPr>
        <w:pStyle w:val="Paragrafoelenco"/>
        <w:numPr>
          <w:ilvl w:val="1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3"/>
          <w:szCs w:val="23"/>
        </w:rPr>
      </w:pPr>
      <w:r w:rsidRPr="005F1C49">
        <w:rPr>
          <w:rFonts w:ascii="Century Gothic" w:hAnsi="Century Gothic" w:cs="CenturyGothic"/>
          <w:kern w:val="0"/>
          <w:sz w:val="23"/>
          <w:szCs w:val="23"/>
        </w:rPr>
        <w:t xml:space="preserve">l’indisponibilità soggettiva delle risorse interne deve essere dimostrabile </w:t>
      </w:r>
      <w:r w:rsidRPr="005F1C49">
        <w:rPr>
          <w:rFonts w:ascii="Century Gothic" w:hAnsi="Century Gothic" w:cs="CenturyGothic,Italic"/>
          <w:i/>
          <w:iCs/>
          <w:kern w:val="0"/>
          <w:sz w:val="23"/>
          <w:szCs w:val="23"/>
        </w:rPr>
        <w:t>per</w:t>
      </w:r>
      <w:r w:rsidR="005F1C49">
        <w:rPr>
          <w:rFonts w:ascii="Century Gothic" w:hAnsi="Century Gothic" w:cs="CenturyGothic,Italic"/>
          <w:i/>
          <w:iCs/>
          <w:kern w:val="0"/>
          <w:sz w:val="23"/>
          <w:szCs w:val="23"/>
        </w:rPr>
        <w:t xml:space="preserve"> </w:t>
      </w:r>
      <w:proofErr w:type="spellStart"/>
      <w:r w:rsidRPr="005F1C49">
        <w:rPr>
          <w:rFonts w:ascii="Century Gothic" w:hAnsi="Century Gothic" w:cs="CenturyGothic,Italic"/>
          <w:i/>
          <w:iCs/>
          <w:kern w:val="0"/>
          <w:sz w:val="23"/>
          <w:szCs w:val="23"/>
        </w:rPr>
        <w:t>tabulas</w:t>
      </w:r>
      <w:proofErr w:type="spellEnd"/>
      <w:r w:rsidRPr="005F1C49">
        <w:rPr>
          <w:rFonts w:ascii="Century Gothic" w:hAnsi="Century Gothic" w:cs="CenturyGothic,Italic"/>
          <w:i/>
          <w:iCs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e di carattere cogente, cioè non superabile con un</w:t>
      </w:r>
      <w:r w:rsidR="005F1C49">
        <w:rPr>
          <w:rFonts w:ascii="Century Gothic" w:hAnsi="Century Gothic" w:cs="CenturyGothic"/>
          <w:kern w:val="0"/>
          <w:sz w:val="23"/>
          <w:szCs w:val="23"/>
        </w:rPr>
        <w:t>’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attenta utilizzazione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del personale per essere questo obiettivamente destinato a compiti da cui non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può essere neanche temporaneamente e/o parzialmente distolto;</w:t>
      </w:r>
    </w:p>
    <w:p w14:paraId="3EAE7EAD" w14:textId="77777777" w:rsidR="005F1C49" w:rsidRDefault="005E2B58" w:rsidP="008B322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3"/>
          <w:szCs w:val="23"/>
        </w:rPr>
      </w:pPr>
      <w:r w:rsidRPr="005F1C49">
        <w:rPr>
          <w:rFonts w:ascii="Century Gothic" w:hAnsi="Century Gothic" w:cs="CenturyGothic"/>
          <w:kern w:val="0"/>
          <w:sz w:val="23"/>
          <w:szCs w:val="23"/>
        </w:rPr>
        <w:t>il provvedimento che decide il conferimento di un incarico di studio, ricerca o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 xml:space="preserve">consulenza dev’essere </w:t>
      </w:r>
      <w:r w:rsidRPr="005F1C49">
        <w:rPr>
          <w:rFonts w:ascii="Century Gothic" w:hAnsi="Century Gothic" w:cs="CenturyGothic,Italic"/>
          <w:i/>
          <w:iCs/>
          <w:kern w:val="0"/>
          <w:sz w:val="23"/>
          <w:szCs w:val="23"/>
        </w:rPr>
        <w:t xml:space="preserve">corredato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del parere (obbligatorio, seppur non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vincolante) dell’organo di revisione economico-finanziaria dell'ente;</w:t>
      </w:r>
    </w:p>
    <w:p w14:paraId="2623A10F" w14:textId="77777777" w:rsidR="005F1C49" w:rsidRDefault="005E2B58" w:rsidP="008B322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3"/>
          <w:szCs w:val="23"/>
        </w:rPr>
      </w:pPr>
      <w:r w:rsidRPr="005F1C49">
        <w:rPr>
          <w:rFonts w:ascii="Century Gothic" w:hAnsi="Century Gothic" w:cs="CenturyGothic"/>
          <w:kern w:val="0"/>
          <w:sz w:val="23"/>
          <w:szCs w:val="23"/>
        </w:rPr>
        <w:t xml:space="preserve">l’incarico sia preceduto da selezione e comparazione </w:t>
      </w:r>
      <w:r w:rsidRPr="005F1C49">
        <w:rPr>
          <w:rFonts w:ascii="Century Gothic" w:hAnsi="Century Gothic" w:cs="CenturyGothic,Italic"/>
          <w:i/>
          <w:iCs/>
          <w:kern w:val="0"/>
          <w:sz w:val="23"/>
          <w:szCs w:val="23"/>
        </w:rPr>
        <w:t xml:space="preserve">effettiva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che sia il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frutto di un congruo esame di documentati “</w:t>
      </w:r>
      <w:r w:rsidRPr="005F1C49">
        <w:rPr>
          <w:rFonts w:ascii="Century Gothic" w:hAnsi="Century Gothic" w:cs="CenturyGothic,Italic"/>
          <w:i/>
          <w:iCs/>
          <w:kern w:val="0"/>
          <w:sz w:val="23"/>
          <w:szCs w:val="23"/>
        </w:rPr>
        <w:t xml:space="preserve">curricula”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e di un serio confronto di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professionalità che sia atto a determinare l’acquisizione di soggetti di provata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qualificazione adeguata al tipo di incarico da affidare, senza distinzione tra le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prestazioni occasionali e quelle di natura coordinata e continuativa. Ed è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 xml:space="preserve">appena il caso di aggiungere che affinché la selezione sia </w:t>
      </w:r>
      <w:r w:rsidRPr="005F1C49">
        <w:rPr>
          <w:rFonts w:ascii="Century Gothic" w:hAnsi="Century Gothic" w:cs="CenturyGothic,Italic"/>
          <w:i/>
          <w:iCs/>
          <w:kern w:val="0"/>
          <w:sz w:val="23"/>
          <w:szCs w:val="23"/>
        </w:rPr>
        <w:t xml:space="preserve">effettiva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essa deve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essere congegnata in modo tale da non ostacolare irrazionalmente o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indebitamente la presentazione delle candidature, ad es. richiedendo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documentazione o ponendo oneri procedimentali non essenziali, stabilendo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termini eccessivamente brevi per la presentazione delle domande, rendendo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pubblico l’avviso di selezione in modi o in tempi che ne impediscano la più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ampia conoscenza da parte della platea dei possibili interessati;</w:t>
      </w:r>
    </w:p>
    <w:p w14:paraId="2CC6EBD6" w14:textId="77777777" w:rsidR="005F1C49" w:rsidRDefault="005E2B58" w:rsidP="008B322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3"/>
          <w:szCs w:val="23"/>
        </w:rPr>
      </w:pPr>
      <w:r w:rsidRPr="005F1C49">
        <w:rPr>
          <w:rFonts w:ascii="Century Gothic" w:hAnsi="Century Gothic" w:cs="CenturyGothic"/>
          <w:kern w:val="0"/>
          <w:sz w:val="23"/>
          <w:szCs w:val="23"/>
        </w:rPr>
        <w:t>l'oggetto della prestazione deve essere determinato e corrispondere a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obiettivi e progetti specifici e determinati e deve rientrare nell’ambito delle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competenze istituzionali attribuite dalla legge all’ente o previste nel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programma approvato dal consiglio ex art.42 co.2 Tuel - essendo perciò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illegittimi (e suscettivi di determinare responsabilità erariale) gli incarichi privi di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 xml:space="preserve">un sufficiente nesso funzionale che li colleghi alle finalità attribuite all’ente </w:t>
      </w:r>
      <w:r w:rsidR="005F1C49">
        <w:rPr>
          <w:rFonts w:ascii="Century Gothic" w:hAnsi="Century Gothic" w:cs="CenturyGothic"/>
          <w:kern w:val="0"/>
          <w:sz w:val="23"/>
          <w:szCs w:val="23"/>
        </w:rPr>
        <w:t>–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 xml:space="preserve"> ma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ovviamente non consistere nello svolgimento delle sue funzioni ordinarie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attribuibili a personale in ruolo;</w:t>
      </w:r>
    </w:p>
    <w:p w14:paraId="018A1564" w14:textId="77777777" w:rsidR="005F1C49" w:rsidRDefault="005E2B58" w:rsidP="008B322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3"/>
          <w:szCs w:val="23"/>
        </w:rPr>
      </w:pPr>
      <w:r w:rsidRPr="005F1C49">
        <w:rPr>
          <w:rFonts w:ascii="Century Gothic" w:hAnsi="Century Gothic" w:cs="CenturyGothic"/>
          <w:kern w:val="0"/>
          <w:sz w:val="23"/>
          <w:szCs w:val="23"/>
        </w:rPr>
        <w:t>dal requisito della ‘eccezionalità’ del ricorso ad apporti esterni deriva, quale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corollario, quello della temporaneità e, dunque, della limitatezza e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determinatezza dell’incarico, la cui durata deve essere perciò determinata e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lastRenderedPageBreak/>
        <w:t>temporalmente limitata e non reiterabile se non per completare un progetto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ovvero un percorso avviato;</w:t>
      </w:r>
    </w:p>
    <w:p w14:paraId="135FC102" w14:textId="77777777" w:rsidR="005F1C49" w:rsidRDefault="005E2B58" w:rsidP="008B322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3"/>
          <w:szCs w:val="23"/>
        </w:rPr>
      </w:pPr>
      <w:r w:rsidRPr="005F1C49">
        <w:rPr>
          <w:rFonts w:ascii="Century Gothic" w:hAnsi="Century Gothic" w:cs="CenturyGothic"/>
          <w:kern w:val="0"/>
          <w:sz w:val="23"/>
          <w:szCs w:val="23"/>
        </w:rPr>
        <w:t>Ai sensi dell’art.7, comma 6, d.lgs. n.165/2001 si prescinde dal requisito della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comprovata specializzazione universitaria (fermo restando, beninteso, che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deve trattarsi di soggetto professionalmente qualificato e di cui sia possibile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“</w:t>
      </w:r>
      <w:r w:rsidRPr="005F1C49">
        <w:rPr>
          <w:rFonts w:ascii="Century Gothic" w:hAnsi="Century Gothic" w:cs="CenturyGothic,Italic"/>
          <w:i/>
          <w:iCs/>
          <w:kern w:val="0"/>
          <w:sz w:val="23"/>
          <w:szCs w:val="23"/>
        </w:rPr>
        <w:t>accertare la maturata esperienza nel settore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”) nel caso di contratti di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collaborazione di natura occasionale o coordinata e continuativa per attività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che debbano essere svolte da professionisti iscritti in ordini o albi o con soggetti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che operino nel campo dell'arte, dello spettacolo, dei mestieri artigianali o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dell'attività informatica nonché a supporto dell'attività didattica e di ricerca,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per i servizi di orientamento, incluso il servizio di collocamento;</w:t>
      </w:r>
    </w:p>
    <w:p w14:paraId="569C5CB6" w14:textId="41D45F01" w:rsidR="005E2B58" w:rsidRDefault="005E2B58" w:rsidP="008B322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3"/>
          <w:szCs w:val="23"/>
        </w:rPr>
      </w:pPr>
      <w:r w:rsidRPr="005F1C49">
        <w:rPr>
          <w:rFonts w:ascii="Century Gothic" w:hAnsi="Century Gothic" w:cs="CenturyGothic"/>
          <w:kern w:val="0"/>
          <w:sz w:val="23"/>
          <w:szCs w:val="23"/>
        </w:rPr>
        <w:t>L’atto di conferimento dell’incarico (completo della indicazione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dell’incaricato, della ragione dell’incarico stesso, del compenso erogato del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,Italic"/>
          <w:i/>
          <w:iCs/>
          <w:kern w:val="0"/>
          <w:sz w:val="23"/>
          <w:szCs w:val="23"/>
        </w:rPr>
        <w:t xml:space="preserve">curriculum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dell’incaricato e dell’indicazione della durata dell’incarico) deve</w:t>
      </w:r>
      <w:r w:rsidR="005F1C49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essere pubblicato sul sito istituzionale in Amministrazione Trasparente. La</w:t>
      </w:r>
      <w:r w:rsidR="008B322C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5F1C49">
        <w:rPr>
          <w:rFonts w:ascii="Century Gothic" w:hAnsi="Century Gothic" w:cs="CenturyGothic"/>
          <w:kern w:val="0"/>
          <w:sz w:val="23"/>
          <w:szCs w:val="23"/>
        </w:rPr>
        <w:t>pubblicazione deve avvenire entro tre mesi dal conferimento dell'incarico e per</w:t>
      </w:r>
      <w:r w:rsidR="008B322C">
        <w:rPr>
          <w:rFonts w:ascii="Century Gothic" w:hAnsi="Century Gothic" w:cs="CenturyGothic"/>
          <w:kern w:val="0"/>
          <w:sz w:val="23"/>
          <w:szCs w:val="23"/>
        </w:rPr>
        <w:t xml:space="preserve"> </w:t>
      </w:r>
      <w:r w:rsidRPr="008B322C">
        <w:rPr>
          <w:rFonts w:ascii="Century Gothic" w:hAnsi="Century Gothic" w:cs="CenturyGothic"/>
          <w:kern w:val="0"/>
          <w:sz w:val="23"/>
          <w:szCs w:val="23"/>
        </w:rPr>
        <w:t>i tre anni successivi alla cessazione dello stesso.</w:t>
      </w:r>
    </w:p>
    <w:p w14:paraId="2BE073B1" w14:textId="77777777" w:rsidR="008B322C" w:rsidRDefault="008B322C" w:rsidP="008B322C">
      <w:pPr>
        <w:pStyle w:val="Paragrafoelenco"/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3"/>
          <w:szCs w:val="23"/>
        </w:rPr>
      </w:pPr>
    </w:p>
    <w:p w14:paraId="63517100" w14:textId="77777777" w:rsidR="008B322C" w:rsidRPr="008B322C" w:rsidRDefault="008B322C" w:rsidP="008B322C">
      <w:pPr>
        <w:pStyle w:val="Paragrafoelenco"/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3"/>
          <w:szCs w:val="23"/>
        </w:rPr>
      </w:pPr>
    </w:p>
    <w:p w14:paraId="479DA49C" w14:textId="77777777" w:rsid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,Bold"/>
          <w:b/>
          <w:bCs/>
          <w:kern w:val="0"/>
          <w:sz w:val="24"/>
          <w:szCs w:val="24"/>
        </w:rPr>
      </w:pPr>
      <w:r w:rsidRPr="005E2B58">
        <w:rPr>
          <w:rFonts w:ascii="Century Gothic" w:hAnsi="Century Gothic" w:cs="CenturyGothic,Bold"/>
          <w:b/>
          <w:bCs/>
          <w:kern w:val="0"/>
          <w:sz w:val="24"/>
          <w:szCs w:val="24"/>
        </w:rPr>
        <w:t>Selezione del professionista</w:t>
      </w:r>
    </w:p>
    <w:p w14:paraId="42ADDC30" w14:textId="77777777" w:rsidR="008B322C" w:rsidRPr="005E2B58" w:rsidRDefault="008B322C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,Bold"/>
          <w:b/>
          <w:bCs/>
          <w:kern w:val="0"/>
          <w:sz w:val="24"/>
          <w:szCs w:val="24"/>
        </w:rPr>
      </w:pPr>
    </w:p>
    <w:p w14:paraId="05C0BD22" w14:textId="77777777" w:rsidR="005E2B58" w:rsidRP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Quando e se si opta per una procedura concorrenziale l’Organo competente</w:t>
      </w:r>
    </w:p>
    <w:p w14:paraId="4E246744" w14:textId="77777777" w:rsidR="005E2B58" w:rsidRP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procede alla valutazione di merito:</w:t>
      </w:r>
    </w:p>
    <w:p w14:paraId="577B418B" w14:textId="77777777" w:rsidR="008B322C" w:rsidRDefault="005E2B58" w:rsidP="008B322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8B322C">
        <w:rPr>
          <w:rFonts w:ascii="Century Gothic" w:hAnsi="Century Gothic" w:cs="CenturyGothic"/>
          <w:kern w:val="0"/>
          <w:sz w:val="24"/>
          <w:szCs w:val="24"/>
        </w:rPr>
        <w:t xml:space="preserve">della professionalità risultante dal </w:t>
      </w:r>
      <w:r w:rsidRPr="008B322C">
        <w:rPr>
          <w:rFonts w:ascii="Century Gothic" w:hAnsi="Century Gothic" w:cs="CenturyGothic,Italic"/>
          <w:i/>
          <w:iCs/>
          <w:kern w:val="0"/>
          <w:sz w:val="24"/>
          <w:szCs w:val="24"/>
        </w:rPr>
        <w:t>curriculum</w:t>
      </w:r>
      <w:r w:rsidRPr="008B322C">
        <w:rPr>
          <w:rFonts w:ascii="Century Gothic" w:hAnsi="Century Gothic" w:cs="CenturyGothic"/>
          <w:kern w:val="0"/>
          <w:sz w:val="24"/>
          <w:szCs w:val="24"/>
        </w:rPr>
        <w:t>;</w:t>
      </w:r>
    </w:p>
    <w:p w14:paraId="5D30FF8C" w14:textId="77777777" w:rsidR="008B322C" w:rsidRDefault="005E2B58" w:rsidP="008B322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8B322C">
        <w:rPr>
          <w:rFonts w:ascii="Century Gothic" w:hAnsi="Century Gothic" w:cs="CenturyGothic"/>
          <w:kern w:val="0"/>
          <w:sz w:val="24"/>
          <w:szCs w:val="24"/>
        </w:rPr>
        <w:t>degli importi richiesti per la prestazione, anche in relazione alla complessità</w:t>
      </w:r>
      <w:r w:rsidR="008B322C"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8B322C">
        <w:rPr>
          <w:rFonts w:ascii="Century Gothic" w:hAnsi="Century Gothic" w:cs="CenturyGothic"/>
          <w:kern w:val="0"/>
          <w:sz w:val="24"/>
          <w:szCs w:val="24"/>
        </w:rPr>
        <w:t>e alla durata dell’incarico;</w:t>
      </w:r>
    </w:p>
    <w:p w14:paraId="4BE0B610" w14:textId="63981A2C" w:rsidR="005E2B58" w:rsidRDefault="005E2B58" w:rsidP="008B322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8B322C">
        <w:rPr>
          <w:rFonts w:ascii="Century Gothic" w:hAnsi="Century Gothic" w:cs="CenturyGothic"/>
          <w:kern w:val="0"/>
          <w:sz w:val="24"/>
          <w:szCs w:val="24"/>
        </w:rPr>
        <w:t>delle caratteristiche tecnico-qualitative del progetto.</w:t>
      </w:r>
    </w:p>
    <w:p w14:paraId="149C4017" w14:textId="77777777" w:rsidR="008B322C" w:rsidRDefault="008B322C" w:rsidP="008B322C">
      <w:pPr>
        <w:pStyle w:val="Paragrafoelenco"/>
        <w:autoSpaceDE w:val="0"/>
        <w:autoSpaceDN w:val="0"/>
        <w:adjustRightInd w:val="0"/>
        <w:spacing w:after="0" w:line="276" w:lineRule="auto"/>
        <w:ind w:left="780"/>
        <w:jc w:val="both"/>
        <w:rPr>
          <w:rFonts w:ascii="Century Gothic" w:hAnsi="Century Gothic" w:cs="CenturyGothic"/>
          <w:kern w:val="0"/>
          <w:sz w:val="24"/>
          <w:szCs w:val="24"/>
        </w:rPr>
      </w:pPr>
    </w:p>
    <w:p w14:paraId="213F797D" w14:textId="77777777" w:rsidR="008B322C" w:rsidRPr="008B322C" w:rsidRDefault="008B322C" w:rsidP="008B322C">
      <w:pPr>
        <w:pStyle w:val="Paragrafoelenco"/>
        <w:autoSpaceDE w:val="0"/>
        <w:autoSpaceDN w:val="0"/>
        <w:adjustRightInd w:val="0"/>
        <w:spacing w:after="0" w:line="276" w:lineRule="auto"/>
        <w:ind w:left="780"/>
        <w:jc w:val="both"/>
        <w:rPr>
          <w:rFonts w:ascii="Century Gothic" w:hAnsi="Century Gothic" w:cs="CenturyGothic"/>
          <w:kern w:val="0"/>
          <w:sz w:val="24"/>
          <w:szCs w:val="24"/>
        </w:rPr>
      </w:pPr>
    </w:p>
    <w:p w14:paraId="06B55F14" w14:textId="77777777" w:rsid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,Bold"/>
          <w:b/>
          <w:bCs/>
          <w:kern w:val="0"/>
          <w:sz w:val="24"/>
          <w:szCs w:val="24"/>
        </w:rPr>
      </w:pPr>
      <w:r w:rsidRPr="005E2B58">
        <w:rPr>
          <w:rFonts w:ascii="Century Gothic" w:hAnsi="Century Gothic" w:cs="CenturyGothic,Bold"/>
          <w:b/>
          <w:bCs/>
          <w:kern w:val="0"/>
          <w:sz w:val="24"/>
          <w:szCs w:val="24"/>
        </w:rPr>
        <w:t>Condizioni contrattuali</w:t>
      </w:r>
    </w:p>
    <w:p w14:paraId="41A33552" w14:textId="77777777" w:rsidR="008B322C" w:rsidRPr="005E2B58" w:rsidRDefault="008B322C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,Bold"/>
          <w:b/>
          <w:bCs/>
          <w:kern w:val="0"/>
          <w:sz w:val="24"/>
          <w:szCs w:val="24"/>
        </w:rPr>
      </w:pPr>
    </w:p>
    <w:p w14:paraId="6C317BB6" w14:textId="72B88544" w:rsidR="005E2B58" w:rsidRP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Il conferimento dell’incarico deve necessariamente essere formalizzato tramite</w:t>
      </w:r>
      <w:r w:rsidR="008B322C"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contratto (anche mediante scambio di corrispondenza secondo l’uso del</w:t>
      </w:r>
      <w:r w:rsidR="008B322C"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commercio con modalità informatiche) e deve contenere:</w:t>
      </w:r>
    </w:p>
    <w:p w14:paraId="5C02841B" w14:textId="77777777" w:rsidR="008B322C" w:rsidRDefault="005E2B58" w:rsidP="008B322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8B322C">
        <w:rPr>
          <w:rFonts w:ascii="Century Gothic" w:hAnsi="Century Gothic" w:cs="CenturyGothic"/>
          <w:kern w:val="0"/>
          <w:sz w:val="24"/>
          <w:szCs w:val="24"/>
        </w:rPr>
        <w:t>i dati identificativi del professionista;</w:t>
      </w:r>
    </w:p>
    <w:p w14:paraId="6E18CE87" w14:textId="77777777" w:rsidR="008B322C" w:rsidRDefault="005E2B58" w:rsidP="008B322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8B322C">
        <w:rPr>
          <w:rFonts w:ascii="Century Gothic" w:hAnsi="Century Gothic" w:cs="CenturyGothic"/>
          <w:kern w:val="0"/>
          <w:sz w:val="24"/>
          <w:szCs w:val="24"/>
        </w:rPr>
        <w:t>il profilo professionale e l’area tematica individuati;</w:t>
      </w:r>
    </w:p>
    <w:p w14:paraId="6AE492BC" w14:textId="77777777" w:rsidR="008B322C" w:rsidRDefault="005E2B58" w:rsidP="008B322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8B322C">
        <w:rPr>
          <w:rFonts w:ascii="Century Gothic" w:hAnsi="Century Gothic" w:cs="CenturyGothic"/>
          <w:kern w:val="0"/>
          <w:sz w:val="24"/>
          <w:szCs w:val="24"/>
        </w:rPr>
        <w:t>l’esatta indicazione dell’oggetto e della durata dell’incarico;</w:t>
      </w:r>
    </w:p>
    <w:p w14:paraId="7D46B9EF" w14:textId="77777777" w:rsidR="008B322C" w:rsidRDefault="005E2B58" w:rsidP="008B322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8B322C">
        <w:rPr>
          <w:rFonts w:ascii="Century Gothic" w:hAnsi="Century Gothic" w:cs="CenturyGothic"/>
          <w:kern w:val="0"/>
          <w:sz w:val="24"/>
          <w:szCs w:val="24"/>
        </w:rPr>
        <w:t>il compenso pattuito e le modalità di pagamento;</w:t>
      </w:r>
    </w:p>
    <w:p w14:paraId="4D4712FD" w14:textId="0DD71B10" w:rsidR="005E2B58" w:rsidRPr="008B322C" w:rsidRDefault="005E2B58" w:rsidP="008B322C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8B322C">
        <w:rPr>
          <w:rFonts w:ascii="Century Gothic" w:hAnsi="Century Gothic" w:cs="CenturyGothic"/>
          <w:kern w:val="0"/>
          <w:sz w:val="24"/>
          <w:szCs w:val="24"/>
        </w:rPr>
        <w:t>eventual</w:t>
      </w:r>
      <w:r w:rsidR="008B322C">
        <w:rPr>
          <w:rFonts w:ascii="Century Gothic" w:hAnsi="Century Gothic" w:cs="CenturyGothic"/>
          <w:kern w:val="0"/>
          <w:sz w:val="24"/>
          <w:szCs w:val="24"/>
        </w:rPr>
        <w:t>e</w:t>
      </w:r>
      <w:r w:rsidRPr="008B322C">
        <w:rPr>
          <w:rFonts w:ascii="Century Gothic" w:hAnsi="Century Gothic" w:cs="CenturyGothic"/>
          <w:kern w:val="0"/>
          <w:sz w:val="24"/>
          <w:szCs w:val="24"/>
        </w:rPr>
        <w:t xml:space="preserve"> dichiarazione di situazione di incompatibilità ed inconferibilità ad</w:t>
      </w:r>
      <w:r w:rsidR="008B322C"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8B322C">
        <w:rPr>
          <w:rFonts w:ascii="Century Gothic" w:hAnsi="Century Gothic" w:cs="CenturyGothic"/>
          <w:kern w:val="0"/>
          <w:sz w:val="24"/>
          <w:szCs w:val="24"/>
        </w:rPr>
        <w:t>assumere l’incarico per il Comune previste dalle norme vigenti.</w:t>
      </w:r>
    </w:p>
    <w:p w14:paraId="3AB05A43" w14:textId="77777777" w:rsidR="005E2B58" w:rsidRP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Il contratto di incarico professionale ha una durata temporalmente predefinita.</w:t>
      </w:r>
    </w:p>
    <w:p w14:paraId="45D76C5D" w14:textId="02A0E814" w:rsidR="005E2B58" w:rsidRP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lastRenderedPageBreak/>
        <w:t>Il contratto deve prevedere le dichiarazioni richieste dalla normativa tributaria e</w:t>
      </w:r>
      <w:r w:rsidR="008B322C"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previdenziale a carico del professionista incaricato.</w:t>
      </w:r>
    </w:p>
    <w:p w14:paraId="64788711" w14:textId="3A00A484" w:rsidR="005E2B58" w:rsidRP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Prima del contratto devono essere verificati i requisiti oggettivi e soggettivi</w:t>
      </w:r>
      <w:r w:rsidR="008B322C"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dell’incaricato.</w:t>
      </w:r>
    </w:p>
    <w:p w14:paraId="07254FD3" w14:textId="77777777" w:rsidR="008B322C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Il contratto deve prevedere l’obbligo, per il professionista, della rendicontazione</w:t>
      </w:r>
      <w:r w:rsidR="008B322C"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 xml:space="preserve">dell’attività svolta quale condizione per il pagamento. </w:t>
      </w:r>
    </w:p>
    <w:p w14:paraId="5CA4A4D4" w14:textId="637BB40B" w:rsidR="005E2B58" w:rsidRP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Laddove l’incarico non</w:t>
      </w:r>
      <w:r w:rsidR="008B322C"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preveda un’elaborazione di una specifica documentazione, alla scadenza del</w:t>
      </w:r>
      <w:r w:rsidR="008B322C"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contratto – o in base alla scadenza delle rate pattuite – il professionista redige una</w:t>
      </w:r>
      <w:r w:rsidR="008B322C"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relazione sintetica scritta nella quale indica in dettaglio le attività svolte,</w:t>
      </w:r>
      <w:r w:rsidR="008B322C"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precisando la relativa coerenza rispetto all’incarico ricevuto. Insieme alla</w:t>
      </w:r>
    </w:p>
    <w:p w14:paraId="33544B22" w14:textId="77777777" w:rsidR="005E2B58" w:rsidRP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relazione, presenta, al Responsabile, il progetto di notula con l’indicazione dei</w:t>
      </w:r>
    </w:p>
    <w:p w14:paraId="43D32354" w14:textId="77777777" w:rsidR="005E2B58" w:rsidRP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compensi maturati.</w:t>
      </w:r>
    </w:p>
    <w:p w14:paraId="4E6B018C" w14:textId="599E73A9" w:rsidR="005E2B58" w:rsidRP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Il Responsabile, tenendo conto della relazione scritta di cui sopra o della</w:t>
      </w:r>
      <w:r w:rsidR="008B322C"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documentazione frutto dell’incarico professionale, procede al pagamento della</w:t>
      </w:r>
      <w:r w:rsidR="008B322C"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“</w:t>
      </w:r>
      <w:proofErr w:type="spellStart"/>
      <w:r w:rsidRPr="005E2B58">
        <w:rPr>
          <w:rFonts w:ascii="Century Gothic" w:hAnsi="Century Gothic" w:cs="CenturyGothic"/>
          <w:kern w:val="0"/>
          <w:sz w:val="24"/>
          <w:szCs w:val="24"/>
        </w:rPr>
        <w:t>prenotula</w:t>
      </w:r>
      <w:proofErr w:type="spellEnd"/>
      <w:r w:rsidRPr="005E2B58">
        <w:rPr>
          <w:rFonts w:ascii="Century Gothic" w:hAnsi="Century Gothic" w:cs="CenturyGothic"/>
          <w:kern w:val="0"/>
          <w:sz w:val="24"/>
          <w:szCs w:val="24"/>
        </w:rPr>
        <w:t>” o della fattura emessa dal professionista in relazione all’incarico</w:t>
      </w:r>
      <w:r w:rsidR="008B322C"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svolto.</w:t>
      </w:r>
    </w:p>
    <w:p w14:paraId="4A583BC8" w14:textId="77777777" w:rsidR="008B322C" w:rsidRDefault="008B322C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</w:p>
    <w:p w14:paraId="3BE5D303" w14:textId="7A8FF566" w:rsidR="005E2B58" w:rsidRDefault="005E2B58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Ogni anomalia nel predetto iter viene segnalata all’attenzione del Responsabile</w:t>
      </w:r>
      <w:r w:rsidR="008B322C"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>per la Prevenzione della Corruzione e di tale segnalazione viene data</w:t>
      </w:r>
      <w:r w:rsidR="008B322C">
        <w:rPr>
          <w:rFonts w:ascii="Century Gothic" w:hAnsi="Century Gothic" w:cs="CenturyGothic"/>
          <w:kern w:val="0"/>
          <w:sz w:val="24"/>
          <w:szCs w:val="24"/>
        </w:rPr>
        <w:t xml:space="preserve"> </w:t>
      </w:r>
      <w:r w:rsidRPr="005E2B58">
        <w:rPr>
          <w:rFonts w:ascii="Century Gothic" w:hAnsi="Century Gothic" w:cs="CenturyGothic"/>
          <w:kern w:val="0"/>
          <w:sz w:val="24"/>
          <w:szCs w:val="24"/>
        </w:rPr>
        <w:t xml:space="preserve">comunicazione al </w:t>
      </w:r>
      <w:proofErr w:type="spellStart"/>
      <w:r w:rsidRPr="005E2B58">
        <w:rPr>
          <w:rFonts w:ascii="Century Gothic" w:hAnsi="Century Gothic" w:cs="CenturyGothic"/>
          <w:kern w:val="0"/>
          <w:sz w:val="24"/>
          <w:szCs w:val="24"/>
        </w:rPr>
        <w:t>N.d.V</w:t>
      </w:r>
      <w:proofErr w:type="spellEnd"/>
      <w:r w:rsidRPr="005E2B58">
        <w:rPr>
          <w:rFonts w:ascii="Century Gothic" w:hAnsi="Century Gothic" w:cs="CenturyGothic"/>
          <w:kern w:val="0"/>
          <w:sz w:val="24"/>
          <w:szCs w:val="24"/>
        </w:rPr>
        <w:t>.</w:t>
      </w:r>
    </w:p>
    <w:p w14:paraId="5119EC2D" w14:textId="77777777" w:rsidR="003E3DF9" w:rsidRPr="005E2B58" w:rsidRDefault="003E3DF9" w:rsidP="008B322C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Gothic"/>
          <w:kern w:val="0"/>
          <w:sz w:val="24"/>
          <w:szCs w:val="24"/>
        </w:rPr>
      </w:pPr>
    </w:p>
    <w:p w14:paraId="4EF45345" w14:textId="7ADCF08E" w:rsidR="00850168" w:rsidRPr="005E2B58" w:rsidRDefault="005E2B58" w:rsidP="003E3DF9">
      <w:pPr>
        <w:spacing w:line="276" w:lineRule="auto"/>
        <w:jc w:val="center"/>
        <w:rPr>
          <w:rFonts w:ascii="Century Gothic" w:hAnsi="Century Gothic"/>
        </w:rPr>
      </w:pPr>
      <w:r w:rsidRPr="005E2B58">
        <w:rPr>
          <w:rFonts w:ascii="Century Gothic" w:hAnsi="Century Gothic" w:cs="CenturyGothic"/>
          <w:kern w:val="0"/>
          <w:sz w:val="24"/>
          <w:szCs w:val="24"/>
        </w:rPr>
        <w:t>**************************************************</w:t>
      </w:r>
    </w:p>
    <w:sectPr w:rsidR="00850168" w:rsidRPr="005E2B58" w:rsidSect="003E3DF9">
      <w:footerReference w:type="default" r:id="rId10"/>
      <w:head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E4E6E" w14:textId="77777777" w:rsidR="003E3DF9" w:rsidRDefault="003E3DF9" w:rsidP="003E3DF9">
      <w:pPr>
        <w:spacing w:after="0" w:line="240" w:lineRule="auto"/>
      </w:pPr>
      <w:r>
        <w:separator/>
      </w:r>
    </w:p>
  </w:endnote>
  <w:endnote w:type="continuationSeparator" w:id="0">
    <w:p w14:paraId="4A4F9E3C" w14:textId="77777777" w:rsidR="003E3DF9" w:rsidRDefault="003E3DF9" w:rsidP="003E3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,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alatinoLinotype">
    <w:altName w:val="Palatino Linotyp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,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7235214"/>
      <w:docPartObj>
        <w:docPartGallery w:val="Page Numbers (Bottom of Page)"/>
        <w:docPartUnique/>
      </w:docPartObj>
    </w:sdtPr>
    <w:sdtContent>
      <w:p w14:paraId="55B44496" w14:textId="75D2B325" w:rsidR="003E3DF9" w:rsidRDefault="003E3DF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2FFB6C" w14:textId="77777777" w:rsidR="003E3DF9" w:rsidRDefault="003E3D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AF039" w14:textId="77777777" w:rsidR="003E3DF9" w:rsidRDefault="003E3DF9" w:rsidP="003E3DF9">
      <w:pPr>
        <w:spacing w:after="0" w:line="240" w:lineRule="auto"/>
      </w:pPr>
      <w:r>
        <w:separator/>
      </w:r>
    </w:p>
  </w:footnote>
  <w:footnote w:type="continuationSeparator" w:id="0">
    <w:p w14:paraId="4BE1D35E" w14:textId="77777777" w:rsidR="003E3DF9" w:rsidRDefault="003E3DF9" w:rsidP="003E3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35B2E" w14:textId="4B9D3F82" w:rsidR="003E3DF9" w:rsidRDefault="003E3DF9">
    <w:pPr>
      <w:pStyle w:val="Intestazione"/>
    </w:pPr>
    <w:r w:rsidRPr="003E3DF9">
      <w:drawing>
        <wp:inline distT="0" distB="0" distL="0" distR="0" wp14:anchorId="6A9A36CA" wp14:editId="3934D80C">
          <wp:extent cx="5639587" cy="866896"/>
          <wp:effectExtent l="0" t="0" r="0" b="9525"/>
          <wp:docPr id="203271015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71015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39587" cy="866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50D1"/>
    <w:multiLevelType w:val="hybridMultilevel"/>
    <w:tmpl w:val="CCEC314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C751C"/>
    <w:multiLevelType w:val="hybridMultilevel"/>
    <w:tmpl w:val="FBC4591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43944"/>
    <w:multiLevelType w:val="hybridMultilevel"/>
    <w:tmpl w:val="65FE358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0E764D"/>
    <w:multiLevelType w:val="hybridMultilevel"/>
    <w:tmpl w:val="321843A0"/>
    <w:lvl w:ilvl="0" w:tplc="C5364A8C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entury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C1E0C"/>
    <w:multiLevelType w:val="hybridMultilevel"/>
    <w:tmpl w:val="C58AE00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A72F3"/>
    <w:multiLevelType w:val="hybridMultilevel"/>
    <w:tmpl w:val="544AF87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961F2"/>
    <w:multiLevelType w:val="hybridMultilevel"/>
    <w:tmpl w:val="BEB607A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022960">
    <w:abstractNumId w:val="5"/>
  </w:num>
  <w:num w:numId="2" w16cid:durableId="204801363">
    <w:abstractNumId w:val="3"/>
  </w:num>
  <w:num w:numId="3" w16cid:durableId="280456509">
    <w:abstractNumId w:val="6"/>
  </w:num>
  <w:num w:numId="4" w16cid:durableId="627053718">
    <w:abstractNumId w:val="0"/>
  </w:num>
  <w:num w:numId="5" w16cid:durableId="453793662">
    <w:abstractNumId w:val="4"/>
  </w:num>
  <w:num w:numId="6" w16cid:durableId="1330138851">
    <w:abstractNumId w:val="2"/>
  </w:num>
  <w:num w:numId="7" w16cid:durableId="1318270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336"/>
    <w:rsid w:val="002B3336"/>
    <w:rsid w:val="003E3DF9"/>
    <w:rsid w:val="005E2B58"/>
    <w:rsid w:val="005F1C49"/>
    <w:rsid w:val="00850168"/>
    <w:rsid w:val="008B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2B5FE"/>
  <w15:chartTrackingRefBased/>
  <w15:docId w15:val="{33AE53FA-B159-405A-B8F5-9EDA93FE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2B5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E3D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3DF9"/>
  </w:style>
  <w:style w:type="paragraph" w:styleId="Pidipagina">
    <w:name w:val="footer"/>
    <w:basedOn w:val="Normale"/>
    <w:link w:val="PidipaginaCarattere"/>
    <w:uiPriority w:val="99"/>
    <w:unhideWhenUsed/>
    <w:rsid w:val="003E3D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3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Scibona</dc:creator>
  <cp:keywords/>
  <dc:description/>
  <cp:lastModifiedBy>Luigi Scibona</cp:lastModifiedBy>
  <cp:revision>3</cp:revision>
  <dcterms:created xsi:type="dcterms:W3CDTF">2023-05-12T09:10:00Z</dcterms:created>
  <dcterms:modified xsi:type="dcterms:W3CDTF">2023-05-12T09:40:00Z</dcterms:modified>
</cp:coreProperties>
</file>