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FF73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24"/>
          <w:szCs w:val="24"/>
        </w:rPr>
      </w:pPr>
    </w:p>
    <w:p w14:paraId="6C7AFAE0" w14:textId="77777777" w:rsidR="005E2B58" w:rsidRDefault="005E2B58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24"/>
          <w:szCs w:val="24"/>
        </w:rPr>
      </w:pPr>
    </w:p>
    <w:p w14:paraId="78B49F18" w14:textId="7CBFF16B" w:rsidR="00604303" w:rsidRPr="00604303" w:rsidRDefault="00604303" w:rsidP="00604303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  <w:r w:rsidRPr="00604303">
        <w:t xml:space="preserve"> </w:t>
      </w:r>
      <w:r w:rsidRPr="00604303"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 xml:space="preserve">SCHEDA DI CONTROLLO </w:t>
      </w:r>
      <w:r w:rsidR="00FE7394" w:rsidRPr="00604303"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>“CAUZIONI</w:t>
      </w:r>
      <w:r w:rsidRPr="00604303"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>/FIDEJUSSIONI”</w:t>
      </w:r>
    </w:p>
    <w:p w14:paraId="53F9B6D7" w14:textId="44485301" w:rsidR="005E2B58" w:rsidRDefault="00604303" w:rsidP="00604303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  <w:r w:rsidRPr="00604303"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>A GARANZIA DEI CONTRATTI</w:t>
      </w:r>
    </w:p>
    <w:p w14:paraId="55F36A53" w14:textId="77777777" w:rsidR="00604303" w:rsidRDefault="00604303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</w:p>
    <w:p w14:paraId="7D648C40" w14:textId="3A01A32A" w:rsidR="00604303" w:rsidRDefault="00604303" w:rsidP="00604303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  <w:r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ab/>
      </w:r>
      <w:r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ab/>
      </w:r>
      <w:r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ab/>
      </w:r>
      <w:r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ab/>
      </w:r>
      <w:r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  <w:tab/>
        <w:t xml:space="preserve">               Presenti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88"/>
        <w:gridCol w:w="5244"/>
        <w:gridCol w:w="989"/>
        <w:gridCol w:w="996"/>
      </w:tblGrid>
      <w:tr w:rsidR="00604303" w14:paraId="19BB512F" w14:textId="77777777" w:rsidTr="00604303">
        <w:tc>
          <w:tcPr>
            <w:tcW w:w="988" w:type="dxa"/>
          </w:tcPr>
          <w:p w14:paraId="6048F3A6" w14:textId="519F1940" w:rsidR="00604303" w:rsidRPr="00604303" w:rsidRDefault="00604303" w:rsidP="0060430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</w:pP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N.</w:t>
            </w:r>
          </w:p>
          <w:p w14:paraId="06EE7E37" w14:textId="752ACBE1" w:rsidR="00604303" w:rsidRPr="00604303" w:rsidRDefault="00604303" w:rsidP="00604303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5244" w:type="dxa"/>
          </w:tcPr>
          <w:p w14:paraId="637EDAC8" w14:textId="43A6E84E" w:rsidR="00604303" w:rsidRPr="00604303" w:rsidRDefault="00604303" w:rsidP="00604303">
            <w:pPr>
              <w:autoSpaceDE w:val="0"/>
              <w:autoSpaceDN w:val="0"/>
              <w:adjustRightInd w:val="0"/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</w:pP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CLAUSOLE</w:t>
            </w: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OBBLIGATORIE</w:t>
            </w:r>
          </w:p>
          <w:p w14:paraId="066CB49D" w14:textId="149C1A3A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89" w:type="dxa"/>
            <w:shd w:val="clear" w:color="auto" w:fill="A8D08D" w:themeFill="accent6" w:themeFillTint="99"/>
          </w:tcPr>
          <w:p w14:paraId="550000AB" w14:textId="4FDB3A87" w:rsidR="00604303" w:rsidRPr="00604303" w:rsidRDefault="00604303" w:rsidP="00604303">
            <w:pPr>
              <w:autoSpaceDE w:val="0"/>
              <w:autoSpaceDN w:val="0"/>
              <w:adjustRightInd w:val="0"/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</w:pP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SI</w:t>
            </w:r>
          </w:p>
          <w:p w14:paraId="13599A18" w14:textId="46C0295F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01441F9B" w14:textId="67E9BFD7" w:rsidR="00604303" w:rsidRPr="00604303" w:rsidRDefault="00604303" w:rsidP="00604303">
            <w:pPr>
              <w:autoSpaceDE w:val="0"/>
              <w:autoSpaceDN w:val="0"/>
              <w:adjustRightInd w:val="0"/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</w:pP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N</w:t>
            </w: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O</w:t>
            </w:r>
          </w:p>
          <w:p w14:paraId="6F7940E4" w14:textId="164F74E5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15596F6E" w14:textId="77777777" w:rsidTr="00604303">
        <w:tc>
          <w:tcPr>
            <w:tcW w:w="988" w:type="dxa"/>
          </w:tcPr>
          <w:p w14:paraId="42263058" w14:textId="69CFD8C8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TimesNewRoman,Bold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5244" w:type="dxa"/>
          </w:tcPr>
          <w:p w14:paraId="3F61991C" w14:textId="66EFEA59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deve essere prevista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l’esclusione del beneficio della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preventiva escussione del debitore.</w:t>
            </w:r>
          </w:p>
          <w:p w14:paraId="6E43FCCA" w14:textId="62A8E7AF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Il 2° comma dell’art. 1944 del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codice civile prevede che:</w:t>
            </w:r>
          </w:p>
          <w:p w14:paraId="3C5B9956" w14:textId="7F1788DE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“Le parti però possono convenire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che il fideiussore non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sia tenuto a pagare prima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dell'escussione del debitore</w:t>
            </w:r>
          </w:p>
          <w:p w14:paraId="78D685DF" w14:textId="77777777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principale. </w:t>
            </w:r>
          </w:p>
          <w:p w14:paraId="703822B9" w14:textId="59F2019F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In tal caso, il fideiussore,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che sia convenuto</w:t>
            </w:r>
          </w:p>
          <w:p w14:paraId="42BB5242" w14:textId="52DEB1D6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dal creditore e intenda valersi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del beneficio dell'escussione,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deve indicare i beni del debitore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principale da sottoporre</w:t>
            </w:r>
          </w:p>
          <w:p w14:paraId="274F7B01" w14:textId="77777777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ad esecuzione”.</w:t>
            </w:r>
          </w:p>
          <w:p w14:paraId="2B71C1AB" w14:textId="2EED9184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Essendo interesse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dell’Amministrazione poter</w:t>
            </w:r>
          </w:p>
          <w:p w14:paraId="02430771" w14:textId="6661B21D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incassare la garanzia senza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dover prima procedere nei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confronti del debitore principale,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è pertanto importante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che la polizza contenga una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dicitura del tipo:</w:t>
            </w:r>
          </w:p>
          <w:p w14:paraId="4E19899E" w14:textId="4AD21B79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</w:pPr>
            <w:r w:rsidRPr="00604303">
              <w:rPr>
                <w:rFonts w:ascii="Century Gothic" w:hAnsi="Century Gothic" w:cs="Calibri"/>
                <w:color w:val="FF0000"/>
                <w:kern w:val="0"/>
              </w:rPr>
              <w:t>“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Ai sensi dell’art. 1944 del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c.c., la Società non godrà del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beneficio della preventiva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escussione del debitore</w:t>
            </w:r>
            <w:r w:rsidRPr="00604303">
              <w:rPr>
                <w:rFonts w:ascii="Century Gothic" w:hAnsi="Century Gothic" w:cs="Calibri"/>
                <w:color w:val="FF0000"/>
                <w:kern w:val="0"/>
              </w:rPr>
              <w:t>”.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44C15095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473D4A55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095F6EF4" w14:textId="77777777" w:rsidTr="00604303">
        <w:tc>
          <w:tcPr>
            <w:tcW w:w="988" w:type="dxa"/>
          </w:tcPr>
          <w:p w14:paraId="23148C8E" w14:textId="02CFA8A1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2</w:t>
            </w:r>
          </w:p>
        </w:tc>
        <w:tc>
          <w:tcPr>
            <w:tcW w:w="5244" w:type="dxa"/>
          </w:tcPr>
          <w:p w14:paraId="31BB5384" w14:textId="7E2C4DB1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</w:pPr>
            <w:r w:rsidRPr="00604303">
              <w:rPr>
                <w:rFonts w:ascii="Century Gothic" w:hAnsi="Century Gothic" w:cs="Calibri"/>
                <w:color w:val="000000"/>
                <w:kern w:val="0"/>
              </w:rPr>
              <w:t>si deve cercare la deroga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all’art. 1945 del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codice civile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"/>
                <w:color w:val="000000"/>
                <w:kern w:val="0"/>
              </w:rPr>
              <w:t>L’articolo 1945 del c.c. prevede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che</w:t>
            </w:r>
            <w:r w:rsidRPr="00604303">
              <w:rPr>
                <w:rFonts w:ascii="Century Gothic" w:hAnsi="Century Gothic" w:cs="Calibri"/>
                <w:color w:val="FF0000"/>
                <w:kern w:val="0"/>
              </w:rPr>
              <w:t xml:space="preserve"> </w:t>
            </w:r>
            <w:r w:rsidR="00F43D4A">
              <w:rPr>
                <w:rFonts w:ascii="Century Gothic" w:hAnsi="Century Gothic" w:cs="Calibri"/>
                <w:color w:val="FF0000"/>
                <w:kern w:val="0"/>
              </w:rPr>
              <w:t>“I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l fideiussore può opporre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contro il creditore tutte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le eccezioni che spettano al</w:t>
            </w:r>
          </w:p>
          <w:p w14:paraId="6660E2E6" w14:textId="5C28935E" w:rsidR="00604303" w:rsidRPr="00604303" w:rsidRDefault="00604303" w:rsidP="0060430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</w:rPr>
            </w:pPr>
            <w:r w:rsidRPr="00604303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debitore principal</w:t>
            </w:r>
            <w:r w:rsidR="00F43D4A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e”.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2DED7E0D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0B09932A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444D598B" w14:textId="77777777" w:rsidTr="00604303">
        <w:tc>
          <w:tcPr>
            <w:tcW w:w="988" w:type="dxa"/>
          </w:tcPr>
          <w:p w14:paraId="2D303F10" w14:textId="7384DA76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3</w:t>
            </w:r>
          </w:p>
        </w:tc>
        <w:tc>
          <w:tcPr>
            <w:tcW w:w="5244" w:type="dxa"/>
          </w:tcPr>
          <w:p w14:paraId="783A3D01" w14:textId="77777777" w:rsidR="006A4DF0" w:rsidRPr="00DA2645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b/>
                <w:bCs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b/>
                <w:bCs/>
                <w:color w:val="000000"/>
                <w:kern w:val="0"/>
              </w:rPr>
              <w:t>termini di pagamento</w:t>
            </w:r>
          </w:p>
          <w:p w14:paraId="2EF01A09" w14:textId="0EF9C8E4" w:rsidR="00604303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Deve essere previsto che la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società, in qualità di fideiussore,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b/>
                <w:bCs/>
                <w:color w:val="FF0000"/>
                <w:kern w:val="0"/>
              </w:rPr>
              <w:t>“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s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i impegni a pagare a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semplice richiesta dell’ente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garantito ed entro 15 giorn</w:t>
            </w:r>
            <w:r w:rsidR="00F43D4A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i”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4C23A136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0DEC7B92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:rsidRPr="006A4DF0" w14:paraId="63A13CB3" w14:textId="77777777" w:rsidTr="00604303">
        <w:tc>
          <w:tcPr>
            <w:tcW w:w="988" w:type="dxa"/>
          </w:tcPr>
          <w:p w14:paraId="66710A9A" w14:textId="4ABDE6FE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4</w:t>
            </w:r>
          </w:p>
        </w:tc>
        <w:tc>
          <w:tcPr>
            <w:tcW w:w="5244" w:type="dxa"/>
          </w:tcPr>
          <w:p w14:paraId="2F3D63B3" w14:textId="375AC8DD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deve essere prevista la deroga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all’art. 1957 del codice civile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in materia di termine entro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 xml:space="preserve">cui far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lastRenderedPageBreak/>
              <w:t>valere le proprie istanze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nei confronti del debitore.</w:t>
            </w:r>
          </w:p>
          <w:p w14:paraId="21105CD7" w14:textId="0294D104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L’art. 1957 del codice civile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dispone che</w:t>
            </w:r>
          </w:p>
          <w:p w14:paraId="66595663" w14:textId="64FD1A0A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</w:pPr>
            <w:r w:rsidRPr="006A4DF0">
              <w:rPr>
                <w:rFonts w:ascii="Century Gothic" w:hAnsi="Century Gothic" w:cs="Calibri"/>
                <w:color w:val="FF0000"/>
                <w:kern w:val="0"/>
              </w:rPr>
              <w:t>“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Il fideiussore rimane obbligato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anche dopo la scadenza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dell'obbligazione principale,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purché il creditore entro sei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mesi abbia proposto le sue</w:t>
            </w:r>
          </w:p>
          <w:p w14:paraId="10404B2D" w14:textId="1D76B2A2" w:rsid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FF0000"/>
                <w:kern w:val="0"/>
              </w:rPr>
            </w:pP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istanze contro il debitore e le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abbia con diligenza continuate</w:t>
            </w:r>
            <w:r w:rsidRPr="006A4DF0">
              <w:rPr>
                <w:rFonts w:ascii="Century Gothic" w:hAnsi="Century Gothic" w:cs="Calibri"/>
                <w:color w:val="FF0000"/>
                <w:kern w:val="0"/>
              </w:rPr>
              <w:t>”.</w:t>
            </w:r>
          </w:p>
          <w:p w14:paraId="062EBCF8" w14:textId="77777777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</w:pPr>
          </w:p>
          <w:p w14:paraId="611CD5BB" w14:textId="38573555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Come si vede, l’articolo 1957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impone al creditore di proporre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le sue istanze nei confronti</w:t>
            </w:r>
          </w:p>
          <w:p w14:paraId="2A8495DD" w14:textId="77777777" w:rsid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del debitore entro 2 o 6 mesi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 xml:space="preserve">a seconda delle fattispecie. </w:t>
            </w:r>
          </w:p>
          <w:p w14:paraId="085E63A3" w14:textId="77777777" w:rsid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</w:p>
          <w:p w14:paraId="7C7CD669" w14:textId="69BB9337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Il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mancato rispetto di questi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tempi comporta la liberazione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del fideiussore.</w:t>
            </w:r>
          </w:p>
          <w:p w14:paraId="33136C3D" w14:textId="21B15B0F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È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 xml:space="preserve"> di fondamentale importanza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che tali termini siano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espressamente derogati nel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testo della polizza, al fine di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"/>
                <w:color w:val="000000"/>
                <w:kern w:val="0"/>
              </w:rPr>
              <w:t>non pregiudicare la garanzia.</w:t>
            </w:r>
          </w:p>
          <w:p w14:paraId="72F95BBF" w14:textId="77777777" w:rsid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</w:p>
          <w:p w14:paraId="0B2C331C" w14:textId="2BFF0F44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Pertanto dovremmo ottenere</w:t>
            </w:r>
          </w:p>
          <w:p w14:paraId="39B16F92" w14:textId="77777777" w:rsidR="006A4DF0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6A4DF0">
              <w:rPr>
                <w:rFonts w:ascii="Century Gothic" w:hAnsi="Century Gothic" w:cs="Calibri"/>
                <w:color w:val="000000"/>
                <w:kern w:val="0"/>
              </w:rPr>
              <w:t>una dicitura del tipo:</w:t>
            </w:r>
          </w:p>
          <w:p w14:paraId="19B09F5F" w14:textId="489EEA2D" w:rsidR="00604303" w:rsidRPr="006A4DF0" w:rsidRDefault="006A4DF0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</w:pP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“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La società rinuncia ad avvalersi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di quanto previsto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6A4DF0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dall’art. 1957 del c.c.</w:t>
            </w:r>
            <w:r w:rsidRPr="006A4DF0">
              <w:rPr>
                <w:rFonts w:ascii="Century Gothic" w:hAnsi="Century Gothic" w:cs="Calibri"/>
                <w:color w:val="FF0000"/>
                <w:kern w:val="0"/>
              </w:rPr>
              <w:t>”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27DEC8CB" w14:textId="77777777" w:rsidR="00604303" w:rsidRPr="006A4DF0" w:rsidRDefault="00604303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28C9DFF3" w14:textId="77777777" w:rsidR="00604303" w:rsidRPr="006A4DF0" w:rsidRDefault="00604303" w:rsidP="006A4D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2EC27FC9" w14:textId="77777777" w:rsidTr="00604303">
        <w:tc>
          <w:tcPr>
            <w:tcW w:w="988" w:type="dxa"/>
          </w:tcPr>
          <w:p w14:paraId="3BA28D8C" w14:textId="72536E12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5</w:t>
            </w:r>
          </w:p>
        </w:tc>
        <w:tc>
          <w:tcPr>
            <w:tcW w:w="5244" w:type="dxa"/>
          </w:tcPr>
          <w:p w14:paraId="41985FBA" w14:textId="21708FDC" w:rsidR="00FE7394" w:rsidRPr="00FE7394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FE7394">
              <w:rPr>
                <w:rFonts w:ascii="Century Gothic" w:hAnsi="Century Gothic" w:cs="Calibri"/>
                <w:color w:val="000000"/>
                <w:kern w:val="0"/>
              </w:rPr>
              <w:t>Deve essere previsto che il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mancato pagamento dei premi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non possa essere opposto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al beneficiario.</w:t>
            </w:r>
          </w:p>
          <w:p w14:paraId="41A849ED" w14:textId="1EF6E921" w:rsidR="00FE7394" w:rsidRPr="00FE7394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FE7394">
              <w:rPr>
                <w:rFonts w:ascii="Century Gothic" w:hAnsi="Century Gothic" w:cs="Calibri"/>
                <w:color w:val="000000"/>
                <w:kern w:val="0"/>
              </w:rPr>
              <w:t>A fronte del rilascio della garanzia,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il contraente (debitore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principale) paga al fideiussore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un premio che normalmente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viene versato di anno in anno.</w:t>
            </w:r>
          </w:p>
          <w:p w14:paraId="661D0AA0" w14:textId="2072E100" w:rsidR="00604303" w:rsidRPr="00FE7394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FE7394">
              <w:rPr>
                <w:rFonts w:ascii="Century Gothic" w:hAnsi="Century Gothic" w:cs="Calibri"/>
                <w:color w:val="000000"/>
                <w:kern w:val="0"/>
              </w:rPr>
              <w:t>È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 xml:space="preserve"> importante che in polizza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sia previsto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che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”il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mancato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pagamento dei supplementi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di premio non possa essere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opposto in nessun caso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all’ente garantito</w:t>
            </w:r>
            <w:r w:rsidRPr="00FE7394">
              <w:rPr>
                <w:rFonts w:ascii="Century Gothic" w:hAnsi="Century Gothic" w:cs="Calibri"/>
                <w:color w:val="FF0000"/>
                <w:kern w:val="0"/>
              </w:rPr>
              <w:t>”.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032D8301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04077FE7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04678C42" w14:textId="77777777" w:rsidTr="00604303">
        <w:tc>
          <w:tcPr>
            <w:tcW w:w="988" w:type="dxa"/>
          </w:tcPr>
          <w:p w14:paraId="0587E455" w14:textId="05B2938A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6</w:t>
            </w:r>
          </w:p>
        </w:tc>
        <w:tc>
          <w:tcPr>
            <w:tcW w:w="5244" w:type="dxa"/>
          </w:tcPr>
          <w:p w14:paraId="68FA0FD4" w14:textId="77777777" w:rsidR="00FE7394" w:rsidRPr="00DA2645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b/>
                <w:bCs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b/>
                <w:bCs/>
                <w:color w:val="000000"/>
                <w:kern w:val="0"/>
              </w:rPr>
              <w:t>durata ed efficacia della garanzia</w:t>
            </w:r>
          </w:p>
          <w:p w14:paraId="6A05AF57" w14:textId="37BF082E" w:rsidR="00FE7394" w:rsidRPr="00FE7394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FE7394">
              <w:rPr>
                <w:rFonts w:ascii="Century Gothic" w:hAnsi="Century Gothic" w:cs="Calibri"/>
                <w:color w:val="000000"/>
                <w:kern w:val="0"/>
              </w:rPr>
              <w:t>Deve essere previsto che la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FF0000"/>
                <w:kern w:val="0"/>
              </w:rPr>
              <w:t>“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garanzia abbia durata sino a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liberazione da parte dell’Ente</w:t>
            </w:r>
          </w:p>
          <w:p w14:paraId="45F27AF2" w14:textId="77777777" w:rsidR="00FE7394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Garantito (Comune) che potrà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avvenire o con la riconsegna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dell’originale di polizza, o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con apposita dichiarazione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rilasciata dall’Ente stesso</w:t>
            </w:r>
            <w:r w:rsidRPr="00FE7394">
              <w:rPr>
                <w:rFonts w:ascii="Century Gothic" w:hAnsi="Century Gothic" w:cs="Calibri"/>
                <w:color w:val="FF0000"/>
                <w:kern w:val="0"/>
              </w:rPr>
              <w:t>”.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Se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possibile, è meglio prevedere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 xml:space="preserve">la sola dichiarazione. </w:t>
            </w:r>
          </w:p>
          <w:p w14:paraId="494F513E" w14:textId="236D29CA" w:rsidR="00604303" w:rsidRPr="00FE7394" w:rsidRDefault="00FE7394" w:rsidP="00FE739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FE7394">
              <w:rPr>
                <w:rFonts w:ascii="Century Gothic" w:hAnsi="Century Gothic" w:cs="Calibri"/>
                <w:color w:val="000000"/>
                <w:kern w:val="0"/>
              </w:rPr>
              <w:t>Se la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durata della cauzione è inferiore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a quella del contratto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inserire in quest’ultimo un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lastRenderedPageBreak/>
              <w:t>impegno del contraente a garantire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il rinnovo della polizza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per tutta la durata contrattuale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con inserimento di una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clausola di risoluzione espressa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al non accadere di tale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FE7394">
              <w:rPr>
                <w:rFonts w:ascii="Century Gothic" w:hAnsi="Century Gothic" w:cs="Calibri"/>
                <w:color w:val="000000"/>
                <w:kern w:val="0"/>
              </w:rPr>
              <w:t>condizione.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02EC927E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48BC8C84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5BF50861" w14:textId="77777777" w:rsidTr="00604303">
        <w:tc>
          <w:tcPr>
            <w:tcW w:w="988" w:type="dxa"/>
          </w:tcPr>
          <w:p w14:paraId="419A075A" w14:textId="2ED2D74C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7</w:t>
            </w:r>
          </w:p>
        </w:tc>
        <w:tc>
          <w:tcPr>
            <w:tcW w:w="5244" w:type="dxa"/>
          </w:tcPr>
          <w:p w14:paraId="45E35771" w14:textId="77777777" w:rsidR="00DA2645" w:rsidRPr="00DA2645" w:rsidRDefault="00DA2645" w:rsidP="00DA26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b/>
                <w:bCs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b/>
                <w:bCs/>
                <w:color w:val="000000"/>
                <w:kern w:val="0"/>
              </w:rPr>
              <w:t>foro competente</w:t>
            </w:r>
          </w:p>
          <w:p w14:paraId="4D18CEBA" w14:textId="6B2F772F" w:rsidR="00604303" w:rsidRPr="00DA2645" w:rsidRDefault="00DA2645" w:rsidP="00DA26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color w:val="000000"/>
                <w:kern w:val="0"/>
              </w:rPr>
              <w:t>Deve essere previsto come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foro competente l’Autorità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Giudiziaria del luogo ove ha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sede l’ente garantito, e quindi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Siena</w:t>
            </w:r>
            <w:r w:rsidRPr="00DA2645">
              <w:rPr>
                <w:rFonts w:ascii="Century Gothic" w:hAnsi="Century Gothic" w:cs="Calibri,Bold"/>
                <w:kern w:val="0"/>
              </w:rPr>
              <w:t>,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non quella della ditta/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privato.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4BBF96E7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100CF3E3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3B1AF0A9" w14:textId="77777777" w:rsidTr="00604303">
        <w:tc>
          <w:tcPr>
            <w:tcW w:w="988" w:type="dxa"/>
          </w:tcPr>
          <w:p w14:paraId="76AD1BB2" w14:textId="699A40FE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8</w:t>
            </w:r>
          </w:p>
        </w:tc>
        <w:tc>
          <w:tcPr>
            <w:tcW w:w="5244" w:type="dxa"/>
          </w:tcPr>
          <w:p w14:paraId="7A82AC38" w14:textId="23F9ADAD" w:rsidR="00DA2645" w:rsidRPr="00DA2645" w:rsidRDefault="00DA2645" w:rsidP="00DA26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color w:val="000000"/>
                <w:kern w:val="0"/>
              </w:rPr>
              <w:t>Autorizzazione della compagnia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assicuratrice/</w:t>
            </w:r>
          </w:p>
          <w:p w14:paraId="6A0C7CE0" w14:textId="3648BDB4" w:rsidR="00604303" w:rsidRPr="00DA2645" w:rsidRDefault="00DA2645" w:rsidP="00DA26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color w:val="000000"/>
                <w:kern w:val="0"/>
              </w:rPr>
              <w:t>intermediario finanziario al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rilascio cauzioni fidejussioni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(verifica IVASS)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7C1F93AF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62719982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  <w:tr w:rsidR="00604303" w14:paraId="24E02283" w14:textId="77777777" w:rsidTr="00604303">
        <w:tc>
          <w:tcPr>
            <w:tcW w:w="988" w:type="dxa"/>
          </w:tcPr>
          <w:p w14:paraId="138F5478" w14:textId="5DBC4DED" w:rsidR="00604303" w:rsidRP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  <w:r w:rsidRPr="00604303">
              <w:rPr>
                <w:rFonts w:ascii="Century Gothic" w:hAnsi="Century Gothic" w:cs="CenturyGothic,BoldItalic"/>
                <w:b/>
                <w:bCs/>
                <w:i/>
                <w:iCs/>
                <w:kern w:val="0"/>
                <w:sz w:val="32"/>
                <w:szCs w:val="32"/>
              </w:rPr>
              <w:t>9</w:t>
            </w:r>
          </w:p>
        </w:tc>
        <w:tc>
          <w:tcPr>
            <w:tcW w:w="5244" w:type="dxa"/>
          </w:tcPr>
          <w:p w14:paraId="1471351F" w14:textId="2CA20447" w:rsidR="00DA2645" w:rsidRPr="00DA2645" w:rsidRDefault="00DA2645" w:rsidP="00DA26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"/>
                <w:color w:val="000000"/>
                <w:kern w:val="0"/>
              </w:rPr>
            </w:pPr>
            <w:r w:rsidRPr="00DA2645">
              <w:rPr>
                <w:rFonts w:ascii="Century Gothic" w:hAnsi="Century Gothic" w:cs="Calibri"/>
                <w:color w:val="000000"/>
                <w:kern w:val="0"/>
              </w:rPr>
              <w:t>Presenza di situazioni anomale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>rispetto alla presentazione</w:t>
            </w:r>
            <w:r>
              <w:rPr>
                <w:rFonts w:ascii="Century Gothic" w:hAnsi="Century Gothic" w:cs="Calibri"/>
                <w:color w:val="00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"/>
                <w:color w:val="000000"/>
                <w:kern w:val="0"/>
              </w:rPr>
              <w:t xml:space="preserve">di cauzioni in sede di gara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(es: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stessa agenzia che rilascia più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polizze in una medesima procedura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di gara, data e numeri</w:t>
            </w:r>
            <w:r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progressivi quasi consequenziali).</w:t>
            </w:r>
          </w:p>
          <w:p w14:paraId="7CA84799" w14:textId="518F2926" w:rsidR="00604303" w:rsidRPr="00EE36A5" w:rsidRDefault="00DA2645" w:rsidP="00DA26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</w:pP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Da utilizzare solo per</w:t>
            </w:r>
            <w:r w:rsidR="00EE36A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cauzione provvisoria in sede</w:t>
            </w:r>
            <w:r w:rsidR="00EE36A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 xml:space="preserve"> </w:t>
            </w:r>
            <w:r w:rsidRPr="00DA2645">
              <w:rPr>
                <w:rFonts w:ascii="Century Gothic" w:hAnsi="Century Gothic" w:cs="Calibri,Bold"/>
                <w:b/>
                <w:bCs/>
                <w:color w:val="FF0000"/>
                <w:kern w:val="0"/>
              </w:rPr>
              <w:t>di gare.</w:t>
            </w:r>
          </w:p>
        </w:tc>
        <w:tc>
          <w:tcPr>
            <w:tcW w:w="989" w:type="dxa"/>
            <w:shd w:val="clear" w:color="auto" w:fill="A8D08D" w:themeFill="accent6" w:themeFillTint="99"/>
          </w:tcPr>
          <w:p w14:paraId="5ECFA7C6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  <w:tc>
          <w:tcPr>
            <w:tcW w:w="996" w:type="dxa"/>
            <w:shd w:val="clear" w:color="auto" w:fill="F76767"/>
          </w:tcPr>
          <w:p w14:paraId="5F64460C" w14:textId="77777777" w:rsidR="00604303" w:rsidRDefault="00604303" w:rsidP="005E2B58">
            <w:pPr>
              <w:autoSpaceDE w:val="0"/>
              <w:autoSpaceDN w:val="0"/>
              <w:adjustRightInd w:val="0"/>
              <w:jc w:val="center"/>
              <w:rPr>
                <w:rFonts w:ascii="CenturyGothic,BoldItalic" w:hAnsi="CenturyGothic,BoldItalic" w:cs="CenturyGothic,BoldItalic"/>
                <w:b/>
                <w:bCs/>
                <w:i/>
                <w:iCs/>
                <w:kern w:val="0"/>
                <w:sz w:val="32"/>
                <w:szCs w:val="32"/>
              </w:rPr>
            </w:pPr>
          </w:p>
        </w:tc>
      </w:tr>
    </w:tbl>
    <w:p w14:paraId="4DF791DF" w14:textId="5E3CFB0B" w:rsidR="00200CB5" w:rsidRPr="005E2B58" w:rsidRDefault="00200CB5" w:rsidP="005E2B58">
      <w:pPr>
        <w:autoSpaceDE w:val="0"/>
        <w:autoSpaceDN w:val="0"/>
        <w:adjustRightInd w:val="0"/>
        <w:spacing w:after="0" w:line="240" w:lineRule="auto"/>
        <w:jc w:val="center"/>
        <w:rPr>
          <w:rFonts w:ascii="CenturyGothic,BoldItalic" w:hAnsi="CenturyGothic,BoldItalic" w:cs="CenturyGothic,BoldItalic"/>
          <w:b/>
          <w:bCs/>
          <w:i/>
          <w:iCs/>
          <w:kern w:val="0"/>
          <w:sz w:val="32"/>
          <w:szCs w:val="32"/>
        </w:rPr>
      </w:pPr>
    </w:p>
    <w:sectPr w:rsidR="00200CB5" w:rsidRPr="005E2B58" w:rsidSect="003E3DF9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E4E6E" w14:textId="77777777" w:rsidR="003E3DF9" w:rsidRDefault="003E3DF9" w:rsidP="003E3DF9">
      <w:pPr>
        <w:spacing w:after="0" w:line="240" w:lineRule="auto"/>
      </w:pPr>
      <w:r>
        <w:separator/>
      </w:r>
    </w:p>
  </w:endnote>
  <w:endnote w:type="continuationSeparator" w:id="0">
    <w:p w14:paraId="4A4F9E3C" w14:textId="77777777" w:rsidR="003E3DF9" w:rsidRDefault="003E3DF9" w:rsidP="003E3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Gothic,Bold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235214"/>
      <w:docPartObj>
        <w:docPartGallery w:val="Page Numbers (Bottom of Page)"/>
        <w:docPartUnique/>
      </w:docPartObj>
    </w:sdtPr>
    <w:sdtContent>
      <w:p w14:paraId="55B44496" w14:textId="75D2B325" w:rsidR="003E3DF9" w:rsidRDefault="003E3DF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2FFB6C" w14:textId="77777777" w:rsidR="003E3DF9" w:rsidRDefault="003E3DF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AF039" w14:textId="77777777" w:rsidR="003E3DF9" w:rsidRDefault="003E3DF9" w:rsidP="003E3DF9">
      <w:pPr>
        <w:spacing w:after="0" w:line="240" w:lineRule="auto"/>
      </w:pPr>
      <w:r>
        <w:separator/>
      </w:r>
    </w:p>
  </w:footnote>
  <w:footnote w:type="continuationSeparator" w:id="0">
    <w:p w14:paraId="4BE1D35E" w14:textId="77777777" w:rsidR="003E3DF9" w:rsidRDefault="003E3DF9" w:rsidP="003E3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5B2E" w14:textId="4B9D3F82" w:rsidR="003E3DF9" w:rsidRDefault="003E3DF9">
    <w:pPr>
      <w:pStyle w:val="Intestazione"/>
    </w:pPr>
    <w:r w:rsidRPr="003E3DF9">
      <w:drawing>
        <wp:inline distT="0" distB="0" distL="0" distR="0" wp14:anchorId="6A9A36CA" wp14:editId="3934D80C">
          <wp:extent cx="5639587" cy="866896"/>
          <wp:effectExtent l="0" t="0" r="0" b="9525"/>
          <wp:docPr id="20327101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271015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39587" cy="8668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50D1"/>
    <w:multiLevelType w:val="hybridMultilevel"/>
    <w:tmpl w:val="CCEC314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C751C"/>
    <w:multiLevelType w:val="hybridMultilevel"/>
    <w:tmpl w:val="FBC4591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43944"/>
    <w:multiLevelType w:val="hybridMultilevel"/>
    <w:tmpl w:val="65FE3582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80E764D"/>
    <w:multiLevelType w:val="hybridMultilevel"/>
    <w:tmpl w:val="321843A0"/>
    <w:lvl w:ilvl="0" w:tplc="C5364A8C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Century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8C1E0C"/>
    <w:multiLevelType w:val="hybridMultilevel"/>
    <w:tmpl w:val="C58AE008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A72F3"/>
    <w:multiLevelType w:val="hybridMultilevel"/>
    <w:tmpl w:val="544AF8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F961F2"/>
    <w:multiLevelType w:val="hybridMultilevel"/>
    <w:tmpl w:val="BEB607A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022960">
    <w:abstractNumId w:val="5"/>
  </w:num>
  <w:num w:numId="2" w16cid:durableId="204801363">
    <w:abstractNumId w:val="3"/>
  </w:num>
  <w:num w:numId="3" w16cid:durableId="280456509">
    <w:abstractNumId w:val="6"/>
  </w:num>
  <w:num w:numId="4" w16cid:durableId="627053718">
    <w:abstractNumId w:val="0"/>
  </w:num>
  <w:num w:numId="5" w16cid:durableId="453793662">
    <w:abstractNumId w:val="4"/>
  </w:num>
  <w:num w:numId="6" w16cid:durableId="1330138851">
    <w:abstractNumId w:val="2"/>
  </w:num>
  <w:num w:numId="7" w16cid:durableId="131827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36"/>
    <w:rsid w:val="00200CB5"/>
    <w:rsid w:val="0029172F"/>
    <w:rsid w:val="002B3336"/>
    <w:rsid w:val="003E3DF9"/>
    <w:rsid w:val="005E2B58"/>
    <w:rsid w:val="005F1C49"/>
    <w:rsid w:val="00604303"/>
    <w:rsid w:val="006A4DF0"/>
    <w:rsid w:val="008466FF"/>
    <w:rsid w:val="00850168"/>
    <w:rsid w:val="008B322C"/>
    <w:rsid w:val="00A54325"/>
    <w:rsid w:val="00DA2645"/>
    <w:rsid w:val="00EE36A5"/>
    <w:rsid w:val="00F43D4A"/>
    <w:rsid w:val="00FE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D2B5FE"/>
  <w15:chartTrackingRefBased/>
  <w15:docId w15:val="{33AE53FA-B159-405A-B8F5-9EDA93FE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E2B5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E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3DF9"/>
  </w:style>
  <w:style w:type="paragraph" w:styleId="Pidipagina">
    <w:name w:val="footer"/>
    <w:basedOn w:val="Normale"/>
    <w:link w:val="PidipaginaCarattere"/>
    <w:uiPriority w:val="99"/>
    <w:unhideWhenUsed/>
    <w:rsid w:val="003E3D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3DF9"/>
  </w:style>
  <w:style w:type="table" w:styleId="Grigliatabella">
    <w:name w:val="Table Grid"/>
    <w:basedOn w:val="Tabellanormale"/>
    <w:uiPriority w:val="39"/>
    <w:rsid w:val="00604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Scibona</dc:creator>
  <cp:keywords/>
  <dc:description/>
  <cp:lastModifiedBy>Luigi Scibona</cp:lastModifiedBy>
  <cp:revision>7</cp:revision>
  <cp:lastPrinted>2023-05-12T09:55:00Z</cp:lastPrinted>
  <dcterms:created xsi:type="dcterms:W3CDTF">2023-05-12T09:55:00Z</dcterms:created>
  <dcterms:modified xsi:type="dcterms:W3CDTF">2023-05-12T10:26:00Z</dcterms:modified>
</cp:coreProperties>
</file>