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5232F" w14:textId="2FD54A67" w:rsidR="009721AC" w:rsidRPr="00C5488A" w:rsidRDefault="009721AC" w:rsidP="009721AC">
      <w:pPr>
        <w:pageBreakBefore/>
        <w:spacing w:after="0" w:line="276" w:lineRule="auto"/>
        <w:rPr>
          <w:rFonts w:ascii="Titillium" w:hAnsi="Titillium" w:cs="Times New Roman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 xml:space="preserve">COMUNE </w:t>
      </w:r>
      <w:proofErr w:type="gramStart"/>
      <w:r>
        <w:rPr>
          <w:rFonts w:ascii="Titillium" w:hAnsi="Titillium" w:cs="Times New Roman"/>
          <w:sz w:val="20"/>
          <w:szCs w:val="20"/>
        </w:rPr>
        <w:t xml:space="preserve">DI  </w:t>
      </w:r>
      <w:r>
        <w:rPr>
          <w:rFonts w:ascii="Titillium" w:hAnsi="Titillium" w:cs="Times New Roman"/>
          <w:sz w:val="20"/>
          <w:szCs w:val="20"/>
        </w:rPr>
        <w:t>COLLE</w:t>
      </w:r>
      <w:proofErr w:type="gramEnd"/>
      <w:r>
        <w:rPr>
          <w:rFonts w:ascii="Titillium" w:hAnsi="Titillium" w:cs="Times New Roman"/>
          <w:sz w:val="20"/>
          <w:szCs w:val="20"/>
        </w:rPr>
        <w:t xml:space="preserve"> DI VAL D’ELSA </w:t>
      </w:r>
      <w:r>
        <w:rPr>
          <w:rFonts w:ascii="Titillium" w:hAnsi="Titillium" w:cs="Times New Roman"/>
          <w:sz w:val="20"/>
          <w:szCs w:val="20"/>
        </w:rPr>
        <w:t>- NUCLEO DI VALUTAZIONE</w:t>
      </w:r>
    </w:p>
    <w:p w14:paraId="28138523" w14:textId="77777777" w:rsidR="009721AC" w:rsidRPr="00C5488A" w:rsidRDefault="009721AC" w:rsidP="009721AC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</w:p>
    <w:p w14:paraId="0FE758FF" w14:textId="77777777" w:rsidR="009721AC" w:rsidRPr="00C5488A" w:rsidRDefault="009721AC" w:rsidP="009721AC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  <w:r w:rsidRPr="00C5488A">
        <w:rPr>
          <w:rFonts w:ascii="Titillium" w:hAnsi="Titillium" w:cs="Times New Roman"/>
          <w:b/>
          <w:bCs/>
          <w:sz w:val="20"/>
          <w:szCs w:val="20"/>
        </w:rPr>
        <w:t xml:space="preserve">Documento di attestazione </w:t>
      </w:r>
    </w:p>
    <w:p w14:paraId="394DFAD7" w14:textId="20A4EFBE" w:rsidR="009721AC" w:rsidRPr="00987C24" w:rsidRDefault="009721AC" w:rsidP="009721AC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color w:val="000000" w:themeColor="text1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>Il Nucleo di Valutazione del comune di</w:t>
      </w:r>
      <w:r>
        <w:rPr>
          <w:rFonts w:ascii="Titillium" w:hAnsi="Titillium" w:cs="Times New Roman"/>
          <w:sz w:val="20"/>
          <w:szCs w:val="20"/>
        </w:rPr>
        <w:t xml:space="preserve"> Colle di Val d’Elsa</w:t>
      </w:r>
      <w:r w:rsidRPr="00C5488A">
        <w:rPr>
          <w:rFonts w:ascii="Titillium" w:hAnsi="Titillium" w:cs="Times New Roman"/>
          <w:sz w:val="20"/>
          <w:szCs w:val="20"/>
        </w:rPr>
        <w:t xml:space="preserve"> ha effettuato, ai sensi dell’art. 14, co. 4, lett. g), del d.lgs. n. 150/2009 e delle </w:t>
      </w:r>
      <w:r w:rsidRPr="00C5488A">
        <w:rPr>
          <w:rFonts w:ascii="Titillium" w:hAnsi="Titillium" w:cs="Times New Roman"/>
          <w:b/>
          <w:sz w:val="20"/>
          <w:szCs w:val="20"/>
        </w:rPr>
        <w:t xml:space="preserve">delibere ANAC n. 1310/2016 e n. </w:t>
      </w:r>
      <w:r>
        <w:rPr>
          <w:rFonts w:ascii="Titillium" w:hAnsi="Titillium" w:cs="Times New Roman"/>
          <w:b/>
          <w:sz w:val="20"/>
          <w:szCs w:val="20"/>
        </w:rPr>
        <w:t>201</w:t>
      </w:r>
      <w:r w:rsidRPr="00C5488A">
        <w:rPr>
          <w:rFonts w:ascii="Titillium" w:hAnsi="Titillium" w:cs="Times New Roman"/>
          <w:b/>
          <w:sz w:val="20"/>
          <w:szCs w:val="20"/>
        </w:rPr>
        <w:t>/202</w:t>
      </w:r>
      <w:r>
        <w:rPr>
          <w:rFonts w:ascii="Titillium" w:hAnsi="Titillium" w:cs="Times New Roman"/>
          <w:b/>
          <w:sz w:val="20"/>
          <w:szCs w:val="20"/>
        </w:rPr>
        <w:t>2</w:t>
      </w:r>
      <w:r w:rsidRPr="00C5488A">
        <w:rPr>
          <w:rFonts w:ascii="Titillium" w:hAnsi="Titillium" w:cs="Times New Roman"/>
          <w:b/>
          <w:sz w:val="20"/>
          <w:szCs w:val="20"/>
        </w:rPr>
        <w:t xml:space="preserve">, </w:t>
      </w:r>
      <w:r w:rsidRPr="00C5488A">
        <w:rPr>
          <w:rFonts w:ascii="Titillium" w:hAnsi="Titillium" w:cs="Times New Roman"/>
          <w:sz w:val="20"/>
          <w:szCs w:val="20"/>
        </w:rPr>
        <w:t>la verifica sulla completezza</w:t>
      </w:r>
      <w:r>
        <w:rPr>
          <w:rFonts w:ascii="Titillium" w:hAnsi="Titillium" w:cs="Times New Roman"/>
          <w:sz w:val="20"/>
          <w:szCs w:val="20"/>
        </w:rPr>
        <w:t xml:space="preserve"> </w:t>
      </w:r>
      <w:r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del formato di ciascun documento, dato ed informazione– Griglia di rilevazione al </w:t>
      </w:r>
      <w:r w:rsidRPr="006F7903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31 </w:t>
      </w:r>
      <w:r>
        <w:rPr>
          <w:rFonts w:ascii="Titillium" w:hAnsi="Titillium" w:cs="Times New Roman"/>
          <w:b/>
          <w:color w:val="000000" w:themeColor="text1"/>
          <w:sz w:val="20"/>
          <w:szCs w:val="20"/>
        </w:rPr>
        <w:t>ottobre</w:t>
      </w:r>
      <w:r w:rsidRPr="006F7903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2022 </w:t>
      </w:r>
      <w:r w:rsidRPr="006F7903">
        <w:rPr>
          <w:rFonts w:ascii="Titillium" w:hAnsi="Titillium" w:cs="Times New Roman"/>
          <w:color w:val="000000" w:themeColor="text1"/>
          <w:sz w:val="20"/>
          <w:szCs w:val="20"/>
        </w:rPr>
        <w:t>della</w:t>
      </w:r>
      <w:r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delibera n. </w:t>
      </w:r>
      <w:r>
        <w:rPr>
          <w:rFonts w:ascii="Titillium" w:hAnsi="Titillium" w:cs="Times New Roman"/>
          <w:color w:val="000000" w:themeColor="text1"/>
          <w:sz w:val="20"/>
          <w:szCs w:val="20"/>
        </w:rPr>
        <w:t>201</w:t>
      </w:r>
      <w:r w:rsidRPr="00987C24">
        <w:rPr>
          <w:rFonts w:ascii="Titillium" w:hAnsi="Titillium" w:cs="Times New Roman"/>
          <w:color w:val="000000" w:themeColor="text1"/>
          <w:sz w:val="20"/>
          <w:szCs w:val="20"/>
        </w:rPr>
        <w:t>/202</w:t>
      </w:r>
      <w:r>
        <w:rPr>
          <w:rFonts w:ascii="Titillium" w:hAnsi="Titillium" w:cs="Times New Roman"/>
          <w:color w:val="000000" w:themeColor="text1"/>
          <w:sz w:val="20"/>
          <w:szCs w:val="20"/>
        </w:rPr>
        <w:t>2</w:t>
      </w:r>
    </w:p>
    <w:p w14:paraId="7F9CD987" w14:textId="77777777" w:rsidR="009721AC" w:rsidRPr="00C5488A" w:rsidRDefault="009721AC" w:rsidP="009721AC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>Il Nucleo di Valutazione</w:t>
      </w:r>
      <w:r w:rsidRPr="00C5488A">
        <w:rPr>
          <w:rFonts w:ascii="Titillium" w:hAnsi="Titillium" w:cs="Times New Roman"/>
          <w:sz w:val="20"/>
          <w:szCs w:val="20"/>
        </w:rPr>
        <w:t xml:space="preserve"> ha svolto gli accertamenti:</w:t>
      </w:r>
    </w:p>
    <w:p w14:paraId="3F51FE90" w14:textId="77777777" w:rsidR="009721AC" w:rsidRPr="00C5488A" w:rsidRDefault="009721AC" w:rsidP="009721AC">
      <w:pPr>
        <w:pStyle w:val="Paragrafoelenco"/>
        <w:tabs>
          <w:tab w:val="left" w:pos="0"/>
        </w:tabs>
        <w:spacing w:before="120" w:after="0" w:line="276" w:lineRule="auto"/>
        <w:ind w:left="717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tenendo anche conto dei risultati e degli elementi emersi dall’attività di controllo sull’assolvimento degli obblighi di pubblicazione svolta dal Responsabile della prevenzione della corruzione e della trasparenza ai sensi dell’art. 43, co. 1, del d.lgs. n. 33/2013</w:t>
      </w:r>
      <w:r>
        <w:rPr>
          <w:rFonts w:ascii="Courier New" w:hAnsi="Courier New" w:cs="Courier New"/>
          <w:sz w:val="20"/>
          <w:szCs w:val="20"/>
        </w:rPr>
        <w:t>.</w:t>
      </w:r>
    </w:p>
    <w:p w14:paraId="479FB127" w14:textId="77777777" w:rsidR="009721AC" w:rsidRPr="00C5488A" w:rsidRDefault="009721AC" w:rsidP="009721AC">
      <w:pPr>
        <w:pStyle w:val="Paragrafoelenco"/>
        <w:spacing w:before="120" w:after="0" w:line="276" w:lineRule="auto"/>
        <w:ind w:left="360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 xml:space="preserve">Sulla base di quanto sopra, </w:t>
      </w:r>
      <w:r>
        <w:rPr>
          <w:rFonts w:ascii="Titillium" w:hAnsi="Titillium" w:cs="Times New Roman"/>
          <w:sz w:val="20"/>
          <w:szCs w:val="20"/>
        </w:rPr>
        <w:t>il Nucleo di Valutazione</w:t>
      </w:r>
      <w:r w:rsidRPr="00C5488A">
        <w:rPr>
          <w:rFonts w:ascii="Titillium" w:hAnsi="Titillium" w:cs="Times New Roman"/>
          <w:sz w:val="20"/>
          <w:szCs w:val="20"/>
        </w:rPr>
        <w:t>, ai sensi dell’art. 14, co. 4, lett. g), del d.lgs. n. 150/2009</w:t>
      </w:r>
    </w:p>
    <w:p w14:paraId="545C1303" w14:textId="77777777" w:rsidR="009721AC" w:rsidRPr="00C5488A" w:rsidRDefault="009721AC" w:rsidP="009721AC">
      <w:pPr>
        <w:pStyle w:val="Paragrafoelenco"/>
        <w:widowControl/>
        <w:spacing w:before="120" w:after="0" w:line="276" w:lineRule="auto"/>
        <w:ind w:left="388" w:firstLine="0"/>
        <w:jc w:val="center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</w:p>
    <w:p w14:paraId="6B523EDE" w14:textId="77777777" w:rsidR="009721AC" w:rsidRDefault="009721AC" w:rsidP="009721AC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la veridicità</w:t>
      </w:r>
      <w:r w:rsidRPr="00C5488A">
        <w:rPr>
          <w:rStyle w:val="Rimandonotaapidipagina"/>
          <w:rFonts w:ascii="Titillium" w:hAnsi="Titillium" w:cs="Times New Roman"/>
          <w:sz w:val="12"/>
          <w:szCs w:val="12"/>
        </w:rPr>
        <w:footnoteReference w:id="1"/>
      </w:r>
      <w:r w:rsidRPr="00C5488A">
        <w:rPr>
          <w:rFonts w:ascii="Titillium" w:hAnsi="Titillium" w:cs="Times New Roman"/>
          <w:sz w:val="12"/>
          <w:szCs w:val="12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e l’attendibilità, alla data dell’attestazione</w:t>
      </w:r>
      <w:r w:rsidRPr="00C5488A">
        <w:rPr>
          <w:rFonts w:ascii="Titillium" w:hAnsi="Titillium"/>
          <w:sz w:val="20"/>
          <w:szCs w:val="20"/>
        </w:rPr>
        <w:t>,</w:t>
      </w:r>
      <w:r w:rsidRPr="00C5488A">
        <w:rPr>
          <w:rFonts w:ascii="Titillium" w:hAnsi="Titillium" w:cs="Times New Roman"/>
          <w:sz w:val="20"/>
          <w:szCs w:val="20"/>
        </w:rPr>
        <w:t xml:space="preserve"> di quanto riportato nell’Allegato</w:t>
      </w:r>
      <w:r w:rsidRPr="00C5488A">
        <w:rPr>
          <w:rFonts w:ascii="Titillium" w:hAnsi="Titillium" w:cs="Times New Roman"/>
          <w:color w:val="FF0000"/>
          <w:sz w:val="20"/>
          <w:szCs w:val="20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rispetto a quanto pubblicat</w:t>
      </w:r>
      <w:r w:rsidRPr="00C5488A">
        <w:rPr>
          <w:rFonts w:ascii="Titillium" w:hAnsi="Titillium"/>
          <w:sz w:val="20"/>
          <w:szCs w:val="20"/>
        </w:rPr>
        <w:t>o sul sito dell’ente.</w:t>
      </w:r>
    </w:p>
    <w:p w14:paraId="4D42B040" w14:textId="77777777" w:rsidR="009721AC" w:rsidRDefault="009721AC" w:rsidP="009721AC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</w:p>
    <w:p w14:paraId="12706CC8" w14:textId="77777777" w:rsidR="009721AC" w:rsidRPr="0041405A" w:rsidRDefault="009721AC" w:rsidP="009721AC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14:paraId="7E09ECD9" w14:textId="3F988A12" w:rsidR="009721AC" w:rsidRPr="00C5488A" w:rsidRDefault="009721AC" w:rsidP="009721AC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 xml:space="preserve">Le </w:t>
      </w:r>
      <w:r>
        <w:rPr>
          <w:rFonts w:ascii="Titillium" w:hAnsi="Titillium"/>
          <w:sz w:val="20"/>
          <w:szCs w:val="20"/>
        </w:rPr>
        <w:t xml:space="preserve">poche </w:t>
      </w:r>
      <w:r>
        <w:rPr>
          <w:rFonts w:ascii="Titillium" w:hAnsi="Titillium"/>
          <w:sz w:val="20"/>
          <w:szCs w:val="20"/>
        </w:rPr>
        <w:t>criticità rilevate alla data del 31 maggio</w:t>
      </w:r>
      <w:r>
        <w:rPr>
          <w:rFonts w:ascii="Titillium" w:hAnsi="Titillium"/>
          <w:sz w:val="20"/>
          <w:szCs w:val="20"/>
        </w:rPr>
        <w:t xml:space="preserve"> non sono state superate</w:t>
      </w:r>
    </w:p>
    <w:p w14:paraId="5DD049E0" w14:textId="77777777" w:rsidR="009721AC" w:rsidRPr="00C5488A" w:rsidRDefault="009721AC" w:rsidP="009721AC">
      <w:pPr>
        <w:widowControl/>
        <w:spacing w:line="276" w:lineRule="auto"/>
        <w:rPr>
          <w:rFonts w:ascii="Titillium" w:hAnsi="Titillium" w:cs="Times New Roman"/>
          <w:sz w:val="20"/>
          <w:szCs w:val="20"/>
        </w:rPr>
      </w:pPr>
    </w:p>
    <w:p w14:paraId="1AAEF8C2" w14:textId="3EFC2A42" w:rsidR="009721AC" w:rsidRPr="00C5488A" w:rsidRDefault="009721AC" w:rsidP="009721AC">
      <w:pPr>
        <w:spacing w:before="120" w:after="0" w:line="276" w:lineRule="auto"/>
        <w:jc w:val="lef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Data</w:t>
      </w:r>
      <w:r>
        <w:rPr>
          <w:rFonts w:ascii="Titillium" w:hAnsi="Titillium" w:cs="Times New Roman"/>
          <w:sz w:val="20"/>
          <w:szCs w:val="20"/>
        </w:rPr>
        <w:t xml:space="preserve"> </w:t>
      </w:r>
      <w:r>
        <w:rPr>
          <w:rFonts w:ascii="Titillium" w:hAnsi="Titillium" w:cs="Times New Roman"/>
          <w:sz w:val="20"/>
          <w:szCs w:val="20"/>
        </w:rPr>
        <w:t>9</w:t>
      </w:r>
      <w:r>
        <w:rPr>
          <w:rFonts w:ascii="Titillium" w:hAnsi="Titillium" w:cs="Times New Roman"/>
          <w:sz w:val="20"/>
          <w:szCs w:val="20"/>
        </w:rPr>
        <w:t>.11.2022</w:t>
      </w:r>
    </w:p>
    <w:p w14:paraId="4589F0E9" w14:textId="77777777" w:rsidR="009721AC" w:rsidRPr="00C5488A" w:rsidRDefault="009721AC" w:rsidP="009721AC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</w:p>
    <w:p w14:paraId="57EBEA98" w14:textId="77777777" w:rsidR="009721AC" w:rsidRDefault="009721AC" w:rsidP="009721AC">
      <w:pPr>
        <w:spacing w:before="120" w:after="0" w:line="276" w:lineRule="auto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 xml:space="preserve">Firma dei componenti </w:t>
      </w:r>
      <w:r>
        <w:rPr>
          <w:rFonts w:ascii="Titillium" w:hAnsi="Titillium" w:cs="Times New Roman"/>
          <w:sz w:val="20"/>
          <w:szCs w:val="20"/>
        </w:rPr>
        <w:t>il Nucleo di Valutazione</w:t>
      </w:r>
    </w:p>
    <w:p w14:paraId="10939BCB" w14:textId="77777777" w:rsidR="009721AC" w:rsidRPr="00C5488A" w:rsidRDefault="009721AC" w:rsidP="009721AC">
      <w:pPr>
        <w:spacing w:before="120" w:after="0" w:line="276" w:lineRule="auto"/>
        <w:rPr>
          <w:rFonts w:ascii="Titillium" w:hAnsi="Titillium" w:cs="Times New Roman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>Dott. Arturo Bianco</w:t>
      </w:r>
    </w:p>
    <w:p w14:paraId="09CC74AB" w14:textId="77777777" w:rsidR="009721AC" w:rsidRPr="00EF325A" w:rsidRDefault="009721AC" w:rsidP="009721AC">
      <w:pPr>
        <w:rPr>
          <w:rFonts w:ascii="Arial" w:hAnsi="Arial" w:cs="Arial"/>
        </w:rPr>
      </w:pPr>
      <w:r w:rsidRPr="00EF325A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9E5BF39" wp14:editId="5DE5DC2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27530" cy="1136585"/>
            <wp:effectExtent l="0" t="0" r="1270" b="698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0" cy="113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br w:type="textWrapping" w:clear="all"/>
      </w:r>
    </w:p>
    <w:p w14:paraId="03A48743" w14:textId="77777777" w:rsidR="009721AC" w:rsidRPr="00C5488A" w:rsidRDefault="009721AC" w:rsidP="009721AC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</w:p>
    <w:p w14:paraId="7A37EE9E" w14:textId="77777777" w:rsidR="00F47D9D" w:rsidRDefault="00F47D9D"/>
    <w:sectPr w:rsidR="00F47D9D">
      <w:headerReference w:type="default" r:id="rId8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84EA7" w14:textId="77777777" w:rsidR="009721AC" w:rsidRDefault="009721AC" w:rsidP="009721AC">
      <w:pPr>
        <w:spacing w:after="0" w:line="240" w:lineRule="auto"/>
      </w:pPr>
      <w:r>
        <w:separator/>
      </w:r>
    </w:p>
  </w:endnote>
  <w:endnote w:type="continuationSeparator" w:id="0">
    <w:p w14:paraId="11CC8986" w14:textId="77777777" w:rsidR="009721AC" w:rsidRDefault="009721AC" w:rsidP="00972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tillium">
    <w:altName w:val="Calibri"/>
    <w:panose1 w:val="020B0604020202020204"/>
    <w:charset w:val="00"/>
    <w:family w:val="modern"/>
    <w:notTrueType/>
    <w:pitch w:val="variable"/>
    <w:sig w:usb0="00000007" w:usb1="00000001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12C0C" w14:textId="77777777" w:rsidR="009721AC" w:rsidRDefault="009721AC" w:rsidP="009721AC">
      <w:pPr>
        <w:spacing w:after="0" w:line="240" w:lineRule="auto"/>
      </w:pPr>
      <w:r>
        <w:separator/>
      </w:r>
    </w:p>
  </w:footnote>
  <w:footnote w:type="continuationSeparator" w:id="0">
    <w:p w14:paraId="713DD39B" w14:textId="77777777" w:rsidR="009721AC" w:rsidRDefault="009721AC" w:rsidP="009721AC">
      <w:pPr>
        <w:spacing w:after="0" w:line="240" w:lineRule="auto"/>
      </w:pPr>
      <w:r>
        <w:continuationSeparator/>
      </w:r>
    </w:p>
  </w:footnote>
  <w:footnote w:id="1">
    <w:p w14:paraId="563B93F7" w14:textId="77777777" w:rsidR="009721AC" w:rsidRDefault="009721AC" w:rsidP="009721AC">
      <w:pPr>
        <w:pStyle w:val="Testonotaapidipagina"/>
        <w:spacing w:line="240" w:lineRule="auto"/>
      </w:pPr>
      <w:r w:rsidRPr="001E200A">
        <w:rPr>
          <w:rStyle w:val="Rimandonotaapidipagina"/>
          <w:rFonts w:ascii="Titillium" w:hAnsi="Titillium"/>
          <w:sz w:val="12"/>
          <w:szCs w:val="12"/>
        </w:rPr>
        <w:footnoteRef/>
      </w:r>
      <w:r w:rsidRPr="00AA64A3">
        <w:rPr>
          <w:rFonts w:ascii="Titillium" w:hAnsi="Titillium"/>
          <w:sz w:val="18"/>
          <w:szCs w:val="18"/>
        </w:rPr>
        <w:t>Il concetto di veridicità è inteso qui come conformità tra quanto rilevato dall’OIV/altro organismo con funzioni analoghe nell’Allegato 2.1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855BA" w14:textId="77777777" w:rsidR="004E3FEA" w:rsidRPr="00B91F3C" w:rsidRDefault="009721AC" w:rsidP="00B91F3C">
    <w:pPr>
      <w:pStyle w:val="Intestazione"/>
      <w:spacing w:line="276" w:lineRule="auto"/>
      <w:rPr>
        <w:rFonts w:ascii="Titillium" w:hAnsi="Titillium"/>
        <w:b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 w16cid:durableId="84701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1AC"/>
    <w:rsid w:val="009721AC"/>
    <w:rsid w:val="00F47D9D"/>
    <w:rsid w:val="00F9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51CD73"/>
  <w15:chartTrackingRefBased/>
  <w15:docId w15:val="{1FEC4DF6-1A72-664C-ADC8-A2889FC7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721AC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sid w:val="009721AC"/>
    <w:rPr>
      <w:position w:val="20"/>
      <w:sz w:val="13"/>
    </w:rPr>
  </w:style>
  <w:style w:type="paragraph" w:styleId="Testonotaapidipagina">
    <w:name w:val="footnote text"/>
    <w:basedOn w:val="Normale"/>
    <w:link w:val="TestonotaapidipaginaCarattere"/>
    <w:rsid w:val="009721AC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721AC"/>
    <w:rPr>
      <w:rFonts w:ascii="Times New Roman" w:eastAsia="Times New Roman" w:hAnsi="Times New Roman" w:cs="Cambria"/>
      <w:lang w:eastAsia="ar-SA"/>
    </w:rPr>
  </w:style>
  <w:style w:type="paragraph" w:styleId="Paragrafoelenco">
    <w:name w:val="List Paragraph"/>
    <w:basedOn w:val="Normale"/>
    <w:uiPriority w:val="34"/>
    <w:qFormat/>
    <w:rsid w:val="009721AC"/>
    <w:pPr>
      <w:ind w:left="357" w:hanging="357"/>
    </w:pPr>
  </w:style>
  <w:style w:type="paragraph" w:styleId="Intestazione">
    <w:name w:val="header"/>
    <w:basedOn w:val="Normale"/>
    <w:link w:val="IntestazioneCarattere"/>
    <w:rsid w:val="009721AC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9721AC"/>
    <w:rPr>
      <w:rFonts w:ascii="Times New Roman" w:eastAsia="Times New Roman" w:hAnsi="Times New Roman" w:cs="Cambri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 Bianco</dc:creator>
  <cp:keywords/>
  <dc:description/>
  <cp:lastModifiedBy>Arturo Bianco</cp:lastModifiedBy>
  <cp:revision>1</cp:revision>
  <dcterms:created xsi:type="dcterms:W3CDTF">2022-11-09T08:37:00Z</dcterms:created>
  <dcterms:modified xsi:type="dcterms:W3CDTF">2022-11-09T08:38:00Z</dcterms:modified>
</cp:coreProperties>
</file>